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E9C" w:rsidRDefault="002608C4" w:rsidP="00170E9C">
      <w:pPr>
        <w:rPr>
          <w:rFonts w:asciiTheme="minorHAnsi" w:hAnsiTheme="minorHAnsi" w:cs="Arial"/>
          <w:b/>
          <w:bCs/>
          <w:color w:val="000000"/>
          <w:sz w:val="36"/>
        </w:rPr>
      </w:pPr>
      <w:r w:rsidRPr="004054B1">
        <w:rPr>
          <w:rFonts w:asciiTheme="minorHAnsi" w:hAnsiTheme="minorHAnsi" w:cs="Arial"/>
          <w:b/>
          <w:bCs/>
          <w:color w:val="000000"/>
          <w:sz w:val="36"/>
        </w:rPr>
        <w:t xml:space="preserve">Course </w:t>
      </w:r>
      <w:r w:rsidR="00C944BC" w:rsidRPr="004054B1">
        <w:rPr>
          <w:rFonts w:asciiTheme="minorHAnsi" w:hAnsiTheme="minorHAnsi" w:cs="Arial"/>
          <w:b/>
          <w:bCs/>
          <w:color w:val="000000"/>
          <w:sz w:val="36"/>
        </w:rPr>
        <w:t>or</w:t>
      </w:r>
      <w:r w:rsidRPr="004054B1">
        <w:rPr>
          <w:rFonts w:asciiTheme="minorHAnsi" w:hAnsiTheme="minorHAnsi" w:cs="Arial"/>
          <w:b/>
          <w:bCs/>
          <w:color w:val="000000"/>
          <w:sz w:val="36"/>
        </w:rPr>
        <w:t xml:space="preserve"> Program Assessment Summary</w:t>
      </w:r>
      <w:r w:rsidR="00170E9C">
        <w:rPr>
          <w:rFonts w:asciiTheme="minorHAnsi" w:hAnsiTheme="minorHAnsi" w:cs="Arial"/>
          <w:b/>
          <w:bCs/>
          <w:color w:val="000000"/>
          <w:sz w:val="36"/>
        </w:rPr>
        <w:t xml:space="preserve">   </w:t>
      </w:r>
      <w:hyperlink r:id="rId5" w:history="1">
        <w:r w:rsidR="00170E9C" w:rsidRPr="00170E9C">
          <w:rPr>
            <w:rStyle w:val="Hyperlink"/>
            <w:rFonts w:asciiTheme="minorHAnsi" w:hAnsiTheme="minorHAnsi" w:cs="Arial"/>
            <w:bCs/>
            <w:sz w:val="18"/>
            <w:szCs w:val="18"/>
          </w:rPr>
          <w:t>http://academic.cuesta.edu/sloa/docs/Course_and_Program_Assessment_Summary_F_2011.docx</w:t>
        </w:r>
      </w:hyperlink>
      <w:r w:rsidR="00170E9C" w:rsidRPr="00170E9C">
        <w:rPr>
          <w:rFonts w:asciiTheme="minorHAnsi" w:hAnsiTheme="minorHAnsi" w:cs="Arial"/>
          <w:bCs/>
          <w:color w:val="000000"/>
          <w:sz w:val="18"/>
          <w:szCs w:val="18"/>
        </w:rPr>
        <w:t xml:space="preserve">  </w:t>
      </w:r>
      <w:r w:rsidR="00170E9C" w:rsidRPr="00170E9C">
        <w:rPr>
          <w:rFonts w:asciiTheme="minorHAnsi" w:hAnsiTheme="minorHAnsi" w:cs="Arial"/>
          <w:b/>
          <w:bCs/>
          <w:color w:val="000000"/>
          <w:sz w:val="36"/>
        </w:rPr>
        <w:t xml:space="preserve">  </w:t>
      </w:r>
      <w:r w:rsidR="00170E9C">
        <w:rPr>
          <w:rFonts w:asciiTheme="minorHAnsi" w:hAnsiTheme="minorHAnsi" w:cs="Arial"/>
          <w:b/>
          <w:bCs/>
          <w:color w:val="000000"/>
          <w:sz w:val="36"/>
        </w:rPr>
        <w:t xml:space="preserve">  </w:t>
      </w:r>
    </w:p>
    <w:p w:rsidR="00170E9C" w:rsidRDefault="00170E9C" w:rsidP="003A2038">
      <w:pPr>
        <w:rPr>
          <w:rFonts w:asciiTheme="minorHAnsi" w:hAnsiTheme="minorHAnsi" w:cs="Arial"/>
          <w:b/>
          <w:bCs/>
          <w:color w:val="000000"/>
          <w:sz w:val="18"/>
        </w:rPr>
      </w:pPr>
    </w:p>
    <w:p w:rsidR="002608C4" w:rsidRPr="004054B1" w:rsidRDefault="00C944BC" w:rsidP="003A2038">
      <w:pPr>
        <w:rPr>
          <w:rFonts w:asciiTheme="minorHAnsi" w:hAnsiTheme="minorHAnsi" w:cs="Arial"/>
          <w:b/>
          <w:bCs/>
          <w:color w:val="000000"/>
          <w:sz w:val="18"/>
        </w:rPr>
      </w:pPr>
      <w:r w:rsidRPr="004054B1">
        <w:rPr>
          <w:rFonts w:asciiTheme="minorHAnsi" w:hAnsiTheme="minorHAnsi" w:cs="Arial"/>
          <w:b/>
          <w:bCs/>
          <w:color w:val="000000"/>
          <w:sz w:val="18"/>
        </w:rPr>
        <w:t xml:space="preserve">This form can be used to record SLO assessment plans and results for courses or programs.  </w:t>
      </w:r>
      <w:r w:rsidR="00B53EBB" w:rsidRPr="004054B1">
        <w:rPr>
          <w:rFonts w:asciiTheme="minorHAnsi" w:hAnsiTheme="minorHAnsi" w:cs="Arial"/>
          <w:b/>
          <w:bCs/>
          <w:color w:val="000000"/>
          <w:sz w:val="18"/>
        </w:rPr>
        <w:t>It is recommended that this document be stored on a group drive, or in MyCuesta.</w:t>
      </w:r>
    </w:p>
    <w:p w:rsidR="002608C4" w:rsidRPr="004054B1" w:rsidRDefault="002608C4" w:rsidP="00170E9C">
      <w:pPr>
        <w:pStyle w:val="Heading5"/>
        <w:tabs>
          <w:tab w:val="left" w:pos="3690"/>
          <w:tab w:val="left" w:pos="7200"/>
          <w:tab w:val="left" w:pos="11610"/>
          <w:tab w:val="right" w:pos="13680"/>
        </w:tabs>
        <w:spacing w:before="60"/>
        <w:rPr>
          <w:rFonts w:asciiTheme="minorHAnsi" w:hAnsiTheme="minorHAnsi" w:cs="Arial"/>
          <w:b w:val="0"/>
          <w:i w:val="0"/>
          <w:u w:val="single"/>
        </w:rPr>
      </w:pPr>
      <w:r w:rsidRPr="004054B1">
        <w:rPr>
          <w:rFonts w:asciiTheme="minorHAnsi" w:hAnsiTheme="minorHAnsi"/>
          <w:b w:val="0"/>
        </w:rPr>
        <w:t>Division:</w:t>
      </w:r>
      <w:r w:rsidRPr="00737D81">
        <w:rPr>
          <w:rFonts w:asciiTheme="minorHAnsi" w:hAnsiTheme="minorHAnsi" w:cs="Arial"/>
          <w:i w:val="0"/>
          <w:sz w:val="24"/>
          <w:szCs w:val="20"/>
        </w:rPr>
        <w:t xml:space="preserve">     </w:t>
      </w:r>
      <w:r w:rsidR="008D5194">
        <w:rPr>
          <w:rFonts w:asciiTheme="minorHAnsi" w:hAnsiTheme="minorHAnsi" w:cs="Arial"/>
          <w:i w:val="0"/>
          <w:sz w:val="24"/>
          <w:szCs w:val="20"/>
        </w:rPr>
        <w:t>Fine Arts</w:t>
      </w:r>
      <w:r w:rsidRPr="00F75908">
        <w:rPr>
          <w:rFonts w:asciiTheme="minorHAnsi" w:hAnsiTheme="minorHAnsi" w:cs="Arial"/>
          <w:i w:val="0"/>
          <w:sz w:val="24"/>
          <w:szCs w:val="20"/>
        </w:rPr>
        <w:tab/>
      </w:r>
      <w:r w:rsidRPr="004054B1">
        <w:rPr>
          <w:rFonts w:asciiTheme="minorHAnsi" w:hAnsiTheme="minorHAnsi"/>
          <w:b w:val="0"/>
        </w:rPr>
        <w:t>Program:</w:t>
      </w:r>
      <w:r w:rsidRPr="00737D81">
        <w:rPr>
          <w:rFonts w:asciiTheme="minorHAnsi" w:hAnsiTheme="minorHAnsi" w:cs="Arial"/>
          <w:i w:val="0"/>
          <w:sz w:val="24"/>
          <w:szCs w:val="20"/>
        </w:rPr>
        <w:t xml:space="preserve">      </w:t>
      </w:r>
      <w:r w:rsidR="00303739">
        <w:rPr>
          <w:rFonts w:asciiTheme="minorHAnsi" w:hAnsiTheme="minorHAnsi" w:cs="Arial"/>
          <w:i w:val="0"/>
          <w:sz w:val="24"/>
          <w:szCs w:val="20"/>
        </w:rPr>
        <w:t>AHPP</w:t>
      </w:r>
      <w:r w:rsidRPr="00F75908">
        <w:rPr>
          <w:rFonts w:asciiTheme="minorHAnsi" w:hAnsiTheme="minorHAnsi" w:cs="Arial"/>
          <w:i w:val="0"/>
          <w:sz w:val="24"/>
          <w:szCs w:val="20"/>
        </w:rPr>
        <w:tab/>
      </w:r>
      <w:r w:rsidR="009B3747" w:rsidRPr="004054B1">
        <w:rPr>
          <w:rFonts w:asciiTheme="minorHAnsi" w:hAnsiTheme="minorHAnsi" w:cs="Arial"/>
          <w:b w:val="0"/>
          <w:i w:val="0"/>
          <w:sz w:val="20"/>
          <w:szCs w:val="20"/>
        </w:rPr>
        <w:t xml:space="preserve"> </w:t>
      </w:r>
      <w:r w:rsidRPr="004054B1">
        <w:rPr>
          <w:rFonts w:asciiTheme="minorHAnsi" w:hAnsiTheme="minorHAnsi"/>
          <w:b w:val="0"/>
        </w:rPr>
        <w:t>Date:</w:t>
      </w:r>
      <w:r w:rsidRPr="00737D81">
        <w:rPr>
          <w:rFonts w:asciiTheme="minorHAnsi" w:hAnsiTheme="minorHAnsi" w:cs="Arial"/>
          <w:i w:val="0"/>
          <w:sz w:val="24"/>
          <w:szCs w:val="20"/>
        </w:rPr>
        <w:t xml:space="preserve">      </w:t>
      </w:r>
      <w:r w:rsidRPr="00F75908">
        <w:rPr>
          <w:rFonts w:asciiTheme="minorHAnsi" w:hAnsiTheme="minorHAnsi" w:cs="Arial"/>
          <w:i w:val="0"/>
          <w:sz w:val="24"/>
          <w:szCs w:val="20"/>
        </w:rPr>
        <w:t xml:space="preserve"> </w:t>
      </w:r>
      <w:r w:rsidR="00E2254E">
        <w:rPr>
          <w:rFonts w:asciiTheme="minorHAnsi" w:hAnsiTheme="minorHAnsi" w:cs="Arial"/>
          <w:i w:val="0"/>
          <w:sz w:val="24"/>
          <w:szCs w:val="20"/>
        </w:rPr>
        <w:t>Fall 2013</w:t>
      </w:r>
      <w:r w:rsidR="00170E9C" w:rsidRPr="00F75908">
        <w:rPr>
          <w:rFonts w:asciiTheme="minorHAnsi" w:hAnsiTheme="minorHAnsi" w:cs="Arial"/>
          <w:i w:val="0"/>
          <w:sz w:val="24"/>
          <w:szCs w:val="20"/>
        </w:rPr>
        <w:tab/>
      </w:r>
      <w:r w:rsidR="00170E9C">
        <w:rPr>
          <w:rFonts w:asciiTheme="minorHAnsi" w:hAnsiTheme="minorHAnsi" w:cs="Arial"/>
          <w:b w:val="0"/>
          <w:i w:val="0"/>
          <w:sz w:val="20"/>
          <w:szCs w:val="20"/>
        </w:rPr>
        <w:tab/>
      </w:r>
      <w:r w:rsidR="00170E9C" w:rsidRPr="00170E9C">
        <w:rPr>
          <w:rFonts w:asciiTheme="minorHAnsi" w:hAnsiTheme="minorHAnsi" w:cs="Arial"/>
          <w:b w:val="0"/>
          <w:bCs w:val="0"/>
          <w:color w:val="000000"/>
          <w:sz w:val="24"/>
        </w:rPr>
        <w:t xml:space="preserve">v. </w:t>
      </w:r>
      <w:r w:rsidR="00737D81">
        <w:rPr>
          <w:rFonts w:asciiTheme="minorHAnsi" w:hAnsiTheme="minorHAnsi" w:cs="Arial"/>
          <w:b w:val="0"/>
          <w:bCs w:val="0"/>
          <w:color w:val="000000"/>
          <w:sz w:val="24"/>
        </w:rPr>
        <w:t>3</w:t>
      </w:r>
      <w:r w:rsidR="00170E9C" w:rsidRPr="00170E9C">
        <w:rPr>
          <w:rFonts w:asciiTheme="minorHAnsi" w:hAnsiTheme="minorHAnsi" w:cs="Arial"/>
          <w:b w:val="0"/>
          <w:bCs w:val="0"/>
          <w:color w:val="000000"/>
          <w:sz w:val="24"/>
        </w:rPr>
        <w:t xml:space="preserve"> 2012</w:t>
      </w:r>
    </w:p>
    <w:p w:rsidR="002608C4" w:rsidRPr="004054B1" w:rsidRDefault="009B3747" w:rsidP="006B4E34">
      <w:pPr>
        <w:pStyle w:val="Heading1"/>
        <w:spacing w:before="60"/>
        <w:rPr>
          <w:rFonts w:asciiTheme="minorHAnsi" w:hAnsiTheme="minorHAnsi"/>
          <w:b w:val="0"/>
          <w:iCs/>
          <w:kern w:val="0"/>
          <w:sz w:val="24"/>
          <w:szCs w:val="24"/>
        </w:rPr>
      </w:pPr>
      <w:r w:rsidRPr="004054B1">
        <w:rPr>
          <w:rFonts w:asciiTheme="minorHAnsi" w:hAnsiTheme="minorHAnsi"/>
          <w:b w:val="0"/>
          <w:sz w:val="24"/>
          <w:szCs w:val="24"/>
        </w:rPr>
        <w:t>Course</w:t>
      </w:r>
      <w:r w:rsidR="00247DEA">
        <w:rPr>
          <w:rFonts w:asciiTheme="minorHAnsi" w:hAnsiTheme="minorHAnsi"/>
          <w:b w:val="0"/>
          <w:sz w:val="24"/>
          <w:szCs w:val="24"/>
        </w:rPr>
        <w:t>s in program, or course:</w:t>
      </w:r>
      <w:r w:rsidR="002608C4" w:rsidRPr="004054B1">
        <w:rPr>
          <w:rFonts w:asciiTheme="minorHAnsi" w:hAnsiTheme="minorHAnsi"/>
          <w:b w:val="0"/>
          <w:iCs/>
          <w:kern w:val="0"/>
          <w:sz w:val="24"/>
          <w:szCs w:val="24"/>
        </w:rPr>
        <w:t xml:space="preserve">  </w:t>
      </w:r>
      <w:r w:rsidR="00303739">
        <w:rPr>
          <w:rFonts w:asciiTheme="minorHAnsi" w:hAnsiTheme="minorHAnsi"/>
          <w:b w:val="0"/>
          <w:iCs/>
          <w:kern w:val="0"/>
          <w:sz w:val="24"/>
          <w:szCs w:val="24"/>
        </w:rPr>
        <w:t>Art 202, 203, 2</w:t>
      </w:r>
      <w:r w:rsidR="00D97D82">
        <w:rPr>
          <w:rFonts w:asciiTheme="minorHAnsi" w:hAnsiTheme="minorHAnsi"/>
          <w:b w:val="0"/>
          <w:iCs/>
          <w:kern w:val="0"/>
          <w:sz w:val="24"/>
          <w:szCs w:val="24"/>
        </w:rPr>
        <w:t>04, 205, 206, 295, 220, 221, 249</w:t>
      </w:r>
      <w:r w:rsidR="00303739">
        <w:rPr>
          <w:rFonts w:asciiTheme="minorHAnsi" w:hAnsiTheme="minorHAnsi"/>
          <w:b w:val="0"/>
          <w:iCs/>
          <w:kern w:val="0"/>
          <w:sz w:val="24"/>
          <w:szCs w:val="24"/>
        </w:rPr>
        <w:t xml:space="preserve">, </w:t>
      </w:r>
      <w:r w:rsidR="00D97D82">
        <w:rPr>
          <w:rFonts w:asciiTheme="minorHAnsi" w:hAnsiTheme="minorHAnsi"/>
          <w:b w:val="0"/>
          <w:iCs/>
          <w:kern w:val="0"/>
          <w:sz w:val="24"/>
          <w:szCs w:val="24"/>
        </w:rPr>
        <w:t xml:space="preserve">256, 259, 268, 270, </w:t>
      </w:r>
      <w:r w:rsidR="00303739">
        <w:rPr>
          <w:rFonts w:asciiTheme="minorHAnsi" w:hAnsiTheme="minorHAnsi"/>
          <w:b w:val="0"/>
          <w:iCs/>
          <w:kern w:val="0"/>
          <w:sz w:val="24"/>
          <w:szCs w:val="24"/>
        </w:rPr>
        <w:t>280</w:t>
      </w:r>
    </w:p>
    <w:p w:rsidR="002608C4" w:rsidRPr="004054B1" w:rsidRDefault="002608C4" w:rsidP="006B4E34">
      <w:pPr>
        <w:pStyle w:val="Heading5"/>
        <w:spacing w:before="120"/>
        <w:rPr>
          <w:rFonts w:asciiTheme="minorHAnsi" w:hAnsiTheme="minorHAnsi"/>
          <w:b w:val="0"/>
          <w:szCs w:val="28"/>
        </w:rPr>
      </w:pPr>
      <w:r w:rsidRPr="004054B1">
        <w:rPr>
          <w:rFonts w:asciiTheme="minorHAnsi" w:hAnsiTheme="minorHAnsi"/>
          <w:b w:val="0"/>
          <w:szCs w:val="28"/>
        </w:rPr>
        <w:t>Faculty</w:t>
      </w:r>
      <w:r w:rsidR="00C944BC" w:rsidRPr="004054B1">
        <w:rPr>
          <w:rFonts w:asciiTheme="minorHAnsi" w:hAnsiTheme="minorHAnsi"/>
          <w:b w:val="0"/>
          <w:szCs w:val="28"/>
        </w:rPr>
        <w:t xml:space="preserve"> involved with the assessment</w:t>
      </w:r>
      <w:r w:rsidR="00282B81" w:rsidRPr="004054B1">
        <w:rPr>
          <w:rFonts w:asciiTheme="minorHAnsi" w:hAnsiTheme="minorHAnsi"/>
          <w:b w:val="0"/>
          <w:szCs w:val="28"/>
        </w:rPr>
        <w:t xml:space="preserve"> and analysis</w:t>
      </w:r>
      <w:r w:rsidRPr="004054B1">
        <w:rPr>
          <w:rFonts w:asciiTheme="minorHAnsi" w:hAnsiTheme="minorHAnsi"/>
          <w:b w:val="0"/>
          <w:szCs w:val="28"/>
        </w:rPr>
        <w:t xml:space="preserve">: </w:t>
      </w:r>
      <w:r w:rsidRPr="00737D81">
        <w:rPr>
          <w:rFonts w:asciiTheme="minorHAnsi" w:hAnsiTheme="minorHAnsi" w:cs="Arial"/>
          <w:i w:val="0"/>
          <w:sz w:val="24"/>
          <w:szCs w:val="20"/>
        </w:rPr>
        <w:t xml:space="preserve"> </w:t>
      </w:r>
      <w:r w:rsidR="00737D81" w:rsidRPr="00F75908">
        <w:rPr>
          <w:rFonts w:asciiTheme="minorHAnsi" w:hAnsiTheme="minorHAnsi" w:cs="Arial"/>
          <w:i w:val="0"/>
          <w:sz w:val="24"/>
          <w:szCs w:val="20"/>
        </w:rPr>
        <w:tab/>
      </w:r>
      <w:r w:rsidR="00303739">
        <w:rPr>
          <w:rFonts w:asciiTheme="minorHAnsi" w:hAnsiTheme="minorHAnsi" w:cs="Arial"/>
          <w:i w:val="0"/>
          <w:sz w:val="24"/>
          <w:szCs w:val="20"/>
        </w:rPr>
        <w:t>Margaret Korisheli</w:t>
      </w:r>
      <w:r w:rsidR="00E2254E">
        <w:rPr>
          <w:rFonts w:asciiTheme="minorHAnsi" w:hAnsiTheme="minorHAnsi" w:cs="Arial"/>
          <w:i w:val="0"/>
          <w:sz w:val="24"/>
          <w:szCs w:val="20"/>
        </w:rPr>
        <w:t xml:space="preserve"> and Leslie Sutcliffe</w:t>
      </w:r>
    </w:p>
    <w:p w:rsidR="002608C4" w:rsidRPr="004054B1" w:rsidRDefault="005F550C" w:rsidP="006B4E34">
      <w:pPr>
        <w:pStyle w:val="Heading5"/>
        <w:spacing w:before="0"/>
        <w:rPr>
          <w:rFonts w:asciiTheme="minorHAnsi" w:hAnsiTheme="minorHAnsi"/>
          <w:b w:val="0"/>
          <w:bCs w:val="0"/>
          <w:i w:val="0"/>
          <w:iCs w:val="0"/>
          <w:color w:val="000000"/>
          <w:sz w:val="24"/>
          <w:szCs w:val="24"/>
        </w:rPr>
      </w:pPr>
      <w:r>
        <w:rPr>
          <w:rFonts w:asciiTheme="minorHAnsi" w:hAnsiTheme="minorHAnsi"/>
          <w:b w:val="0"/>
          <w:i w:val="0"/>
          <w:szCs w:val="28"/>
        </w:rPr>
        <w:t>Course-to-</w:t>
      </w:r>
      <w:r w:rsidR="00015545" w:rsidRPr="004054B1">
        <w:rPr>
          <w:rFonts w:asciiTheme="minorHAnsi" w:hAnsiTheme="minorHAnsi"/>
          <w:b w:val="0"/>
          <w:i w:val="0"/>
          <w:szCs w:val="28"/>
        </w:rPr>
        <w:t>program outcome mapping document** is completed</w:t>
      </w:r>
      <w:r w:rsidR="00015545" w:rsidRPr="004054B1">
        <w:rPr>
          <w:rFonts w:asciiTheme="minorHAnsi" w:hAnsiTheme="minorHAnsi"/>
          <w:b w:val="0"/>
          <w:bCs w:val="0"/>
          <w:i w:val="0"/>
          <w:iCs w:val="0"/>
          <w:color w:val="000000"/>
          <w:sz w:val="24"/>
          <w:szCs w:val="24"/>
        </w:rPr>
        <w:t xml:space="preserve">  </w:t>
      </w:r>
      <w:r w:rsidR="00015545" w:rsidRPr="008D5194">
        <w:rPr>
          <w:rFonts w:asciiTheme="minorHAnsi" w:hAnsiTheme="minorHAnsi"/>
          <w:bCs w:val="0"/>
          <w:i w:val="0"/>
          <w:iCs w:val="0"/>
          <w:color w:val="000000"/>
          <w:sz w:val="24"/>
          <w:szCs w:val="24"/>
        </w:rPr>
        <w:t>Yes</w:t>
      </w:r>
      <w:r w:rsidR="008D5194" w:rsidRPr="008D5194">
        <w:rPr>
          <w:rFonts w:asciiTheme="minorHAnsi" w:hAnsiTheme="minorHAnsi"/>
          <w:bCs w:val="0"/>
          <w:i w:val="0"/>
          <w:iCs w:val="0"/>
          <w:color w:val="000000"/>
          <w:sz w:val="24"/>
          <w:szCs w:val="24"/>
        </w:rPr>
        <w:t xml:space="preserve"> X</w:t>
      </w:r>
      <w:r w:rsidR="00015545" w:rsidRPr="004054B1">
        <w:rPr>
          <w:rFonts w:asciiTheme="minorHAnsi" w:hAnsiTheme="minorHAnsi"/>
          <w:b w:val="0"/>
          <w:bCs w:val="0"/>
          <w:i w:val="0"/>
          <w:iCs w:val="0"/>
          <w:color w:val="000000"/>
          <w:sz w:val="24"/>
          <w:szCs w:val="24"/>
        </w:rPr>
        <w:tab/>
      </w:r>
      <w:r w:rsidR="00015545" w:rsidRPr="004054B1">
        <w:rPr>
          <w:rFonts w:asciiTheme="minorHAnsi" w:hAnsiTheme="minorHAnsi"/>
          <w:b w:val="0"/>
          <w:bCs w:val="0"/>
          <w:i w:val="0"/>
          <w:iCs w:val="0"/>
          <w:color w:val="000000"/>
          <w:sz w:val="24"/>
          <w:szCs w:val="24"/>
        </w:rPr>
        <w:tab/>
        <w:t>No______</w:t>
      </w:r>
      <w:r w:rsidR="002608C4" w:rsidRPr="004054B1">
        <w:rPr>
          <w:rFonts w:asciiTheme="minorHAnsi" w:hAnsiTheme="minorHAnsi"/>
          <w:b w:val="0"/>
          <w:bCs w:val="0"/>
          <w:i w:val="0"/>
          <w:iCs w:val="0"/>
          <w:color w:val="000000"/>
          <w:sz w:val="24"/>
          <w:szCs w:val="24"/>
        </w:rPr>
        <w:tab/>
      </w:r>
      <w:r w:rsidR="002608C4" w:rsidRPr="004054B1">
        <w:rPr>
          <w:rFonts w:asciiTheme="minorHAnsi" w:hAnsiTheme="minorHAnsi"/>
          <w:b w:val="0"/>
          <w:bCs w:val="0"/>
          <w:i w:val="0"/>
          <w:iCs w:val="0"/>
          <w:color w:val="000000"/>
          <w:sz w:val="24"/>
          <w:szCs w:val="24"/>
        </w:rPr>
        <w:tab/>
      </w:r>
      <w:r w:rsidR="002608C4" w:rsidRPr="004054B1">
        <w:rPr>
          <w:rFonts w:asciiTheme="minorHAnsi" w:hAnsiTheme="minorHAnsi"/>
          <w:b w:val="0"/>
          <w:bCs w:val="0"/>
          <w:i w:val="0"/>
          <w:iCs w:val="0"/>
          <w:color w:val="000000"/>
          <w:sz w:val="24"/>
          <w:szCs w:val="24"/>
        </w:rPr>
        <w:tab/>
      </w:r>
      <w:r w:rsidR="002608C4" w:rsidRPr="004054B1">
        <w:rPr>
          <w:rFonts w:asciiTheme="minorHAnsi" w:hAnsiTheme="minorHAnsi"/>
          <w:b w:val="0"/>
          <w:bCs w:val="0"/>
          <w:i w:val="0"/>
          <w:iCs w:val="0"/>
          <w:color w:val="000000"/>
          <w:sz w:val="24"/>
          <w:szCs w:val="24"/>
        </w:rPr>
        <w:tab/>
      </w:r>
    </w:p>
    <w:tbl>
      <w:tblPr>
        <w:tblW w:w="14036" w:type="dxa"/>
        <w:jc w:val="center"/>
        <w:tblInd w:w="-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82"/>
        <w:gridCol w:w="3150"/>
        <w:gridCol w:w="10404"/>
      </w:tblGrid>
      <w:tr w:rsidR="002608C4" w:rsidRPr="004054B1">
        <w:trPr>
          <w:trHeight w:val="292"/>
          <w:jc w:val="center"/>
        </w:trPr>
        <w:tc>
          <w:tcPr>
            <w:tcW w:w="482" w:type="dxa"/>
          </w:tcPr>
          <w:p w:rsidR="002608C4" w:rsidRPr="004054B1" w:rsidRDefault="002608C4" w:rsidP="00C67190">
            <w:pPr>
              <w:rPr>
                <w:rFonts w:asciiTheme="minorHAnsi" w:hAnsiTheme="minorHAnsi"/>
                <w:color w:val="000000"/>
              </w:rPr>
            </w:pPr>
            <w:r w:rsidRPr="004054B1">
              <w:rPr>
                <w:rFonts w:asciiTheme="minorHAnsi" w:hAnsiTheme="minorHAnsi"/>
                <w:color w:val="000000"/>
              </w:rPr>
              <w:t>1</w:t>
            </w:r>
          </w:p>
        </w:tc>
        <w:tc>
          <w:tcPr>
            <w:tcW w:w="3150" w:type="dxa"/>
          </w:tcPr>
          <w:p w:rsidR="002608C4" w:rsidRPr="004054B1" w:rsidRDefault="002608C4" w:rsidP="00C67190">
            <w:pPr>
              <w:rPr>
                <w:rFonts w:asciiTheme="minorHAnsi" w:hAnsiTheme="minorHAnsi" w:cs="Arial"/>
                <w:bCs/>
                <w:color w:val="000000"/>
              </w:rPr>
            </w:pPr>
            <w:r w:rsidRPr="004054B1">
              <w:rPr>
                <w:rFonts w:asciiTheme="minorHAnsi" w:hAnsiTheme="minorHAnsi" w:cs="Arial"/>
                <w:bCs/>
                <w:color w:val="000000"/>
              </w:rPr>
              <w:t xml:space="preserve">Student Learning Outcome Statements </w:t>
            </w:r>
          </w:p>
          <w:p w:rsidR="002608C4" w:rsidRPr="004054B1" w:rsidRDefault="00BF1A99" w:rsidP="00C67190">
            <w:pPr>
              <w:rPr>
                <w:rFonts w:asciiTheme="minorHAnsi" w:hAnsiTheme="minorHAnsi" w:cs="Arial"/>
                <w:bCs/>
                <w:color w:val="000000"/>
              </w:rPr>
            </w:pPr>
            <w:r>
              <w:rPr>
                <w:bCs/>
                <w:color w:val="000000"/>
                <w:sz w:val="28"/>
              </w:rPr>
              <w:t xml:space="preserve">X </w:t>
            </w:r>
            <w:r w:rsidR="002608C4" w:rsidRPr="004054B1">
              <w:rPr>
                <w:rFonts w:asciiTheme="minorHAnsi" w:hAnsiTheme="minorHAnsi" w:cs="Arial"/>
                <w:bCs/>
                <w:color w:val="000000"/>
              </w:rPr>
              <w:t xml:space="preserve"> </w:t>
            </w:r>
            <w:r w:rsidR="002608C4" w:rsidRPr="00BF1A99">
              <w:rPr>
                <w:rFonts w:asciiTheme="minorHAnsi" w:hAnsiTheme="minorHAnsi" w:cs="Arial"/>
                <w:b/>
                <w:bCs/>
                <w:color w:val="000000"/>
              </w:rPr>
              <w:t>Program</w:t>
            </w:r>
          </w:p>
          <w:p w:rsidR="002608C4" w:rsidRPr="008D5194" w:rsidRDefault="002608C4" w:rsidP="00BF1A99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8D5194">
              <w:rPr>
                <w:rFonts w:asciiTheme="minorHAnsi" w:hAnsiTheme="minorHAnsi" w:cs="Arial"/>
                <w:b/>
                <w:bCs/>
                <w:color w:val="000000"/>
                <w:sz w:val="28"/>
              </w:rPr>
              <w:t xml:space="preserve"> </w:t>
            </w:r>
          </w:p>
        </w:tc>
        <w:tc>
          <w:tcPr>
            <w:tcW w:w="10404" w:type="dxa"/>
          </w:tcPr>
          <w:p w:rsidR="00E2254E" w:rsidRPr="00EC4E63" w:rsidRDefault="00BF1A99" w:rsidP="00E2254E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szCs w:val="24"/>
              </w:rPr>
            </w:pPr>
            <w:r w:rsidRPr="00C3449B">
              <w:t xml:space="preserve">1. </w:t>
            </w:r>
            <w:r w:rsidR="00E2254E" w:rsidRPr="00EC4E63">
              <w:rPr>
                <w:szCs w:val="24"/>
              </w:rPr>
              <w:t xml:space="preserve">Recognize and describe major developments and representative works of art and architecture in western art from prehistory through contemporary periods. </w:t>
            </w:r>
          </w:p>
          <w:p w:rsidR="00E2254E" w:rsidRPr="00EC4E63" w:rsidRDefault="00E2254E" w:rsidP="00E2254E">
            <w:pPr>
              <w:pStyle w:val="ListParagraph"/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E2254E" w:rsidRPr="00EC4E63" w:rsidRDefault="00E2254E" w:rsidP="00E2254E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szCs w:val="24"/>
              </w:rPr>
            </w:pPr>
            <w:r w:rsidRPr="00EC4E63">
              <w:rPr>
                <w:szCs w:val="24"/>
              </w:rPr>
              <w:t>Write about art historical movements, individual artists, and art exhibitions employing relevant terminology and vocabulary.</w:t>
            </w:r>
          </w:p>
          <w:p w:rsidR="00E2254E" w:rsidRPr="00EC4E63" w:rsidRDefault="00E2254E" w:rsidP="00E2254E">
            <w:pPr>
              <w:widowControl w:val="0"/>
              <w:autoSpaceDE w:val="0"/>
              <w:autoSpaceDN w:val="0"/>
              <w:adjustRightInd w:val="0"/>
            </w:pPr>
          </w:p>
          <w:p w:rsidR="00E2254E" w:rsidRPr="00EC4E63" w:rsidRDefault="00E2254E" w:rsidP="00E2254E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szCs w:val="24"/>
              </w:rPr>
            </w:pPr>
            <w:r w:rsidRPr="00EC4E63">
              <w:rPr>
                <w:szCs w:val="24"/>
              </w:rPr>
              <w:t xml:space="preserve">Analyze and differentiate works of art and architecture in terms of historical context, cultural values, visual language and aesthetic innovation. </w:t>
            </w:r>
          </w:p>
          <w:p w:rsidR="00E2254E" w:rsidRPr="00EC4E63" w:rsidRDefault="00E2254E" w:rsidP="00E2254E">
            <w:pPr>
              <w:widowControl w:val="0"/>
              <w:autoSpaceDE w:val="0"/>
              <w:autoSpaceDN w:val="0"/>
              <w:adjustRightInd w:val="0"/>
            </w:pPr>
          </w:p>
          <w:p w:rsidR="00E2254E" w:rsidRPr="00EC4E63" w:rsidRDefault="00E2254E" w:rsidP="00E2254E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szCs w:val="24"/>
              </w:rPr>
            </w:pPr>
            <w:r w:rsidRPr="00EC4E63">
              <w:rPr>
                <w:szCs w:val="24"/>
              </w:rPr>
              <w:t>Recognize and describe the formal and conceptual aspects of works of art, including the elements and principles of design and specific iconography.</w:t>
            </w:r>
          </w:p>
          <w:p w:rsidR="00E2254E" w:rsidRPr="00EC4E63" w:rsidRDefault="00E2254E" w:rsidP="00E2254E">
            <w:pPr>
              <w:widowControl w:val="0"/>
              <w:autoSpaceDE w:val="0"/>
              <w:autoSpaceDN w:val="0"/>
              <w:adjustRightInd w:val="0"/>
            </w:pPr>
          </w:p>
          <w:p w:rsidR="00E2254E" w:rsidRPr="00EC4E63" w:rsidRDefault="00E2254E" w:rsidP="00E2254E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="Times"/>
                <w:szCs w:val="24"/>
              </w:rPr>
            </w:pPr>
            <w:r w:rsidRPr="00EC4E63">
              <w:rPr>
                <w:szCs w:val="24"/>
              </w:rPr>
              <w:t>Recognize and describe the artistic traditions and representative works of art and architecture in non-western art including India, Asia, Pre-Columbian America, and Africa.</w:t>
            </w:r>
          </w:p>
          <w:p w:rsidR="00E2254E" w:rsidRPr="00EC4E63" w:rsidRDefault="00E2254E" w:rsidP="00E2254E">
            <w:pPr>
              <w:widowControl w:val="0"/>
              <w:autoSpaceDE w:val="0"/>
              <w:autoSpaceDN w:val="0"/>
              <w:adjustRightInd w:val="0"/>
              <w:rPr>
                <w:rFonts w:cs="Times"/>
              </w:rPr>
            </w:pPr>
          </w:p>
          <w:p w:rsidR="00E2254E" w:rsidRPr="00EC4E63" w:rsidRDefault="00E2254E" w:rsidP="00E2254E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="Times"/>
                <w:szCs w:val="24"/>
              </w:rPr>
            </w:pPr>
            <w:r w:rsidRPr="00EC4E63">
              <w:rPr>
                <w:szCs w:val="24"/>
              </w:rPr>
              <w:t>Describe and analyze the mission and functions of art museums, as well as the professional roles involved in working in museums.</w:t>
            </w:r>
          </w:p>
          <w:p w:rsidR="00E2254E" w:rsidRPr="00EC4E63" w:rsidRDefault="00E2254E" w:rsidP="00E2254E">
            <w:pPr>
              <w:widowControl w:val="0"/>
              <w:autoSpaceDE w:val="0"/>
              <w:autoSpaceDN w:val="0"/>
              <w:adjustRightInd w:val="0"/>
              <w:rPr>
                <w:rFonts w:cs="Times"/>
              </w:rPr>
            </w:pPr>
          </w:p>
          <w:p w:rsidR="00E2254E" w:rsidRPr="00EC4E63" w:rsidRDefault="00E2254E" w:rsidP="00E2254E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szCs w:val="24"/>
              </w:rPr>
            </w:pPr>
            <w:r w:rsidRPr="00EC4E63">
              <w:rPr>
                <w:szCs w:val="24"/>
              </w:rPr>
              <w:t>Apply professional practices in the installation of art exhibitions.</w:t>
            </w:r>
          </w:p>
          <w:p w:rsidR="00E2254E" w:rsidRPr="00EC4E63" w:rsidRDefault="00E2254E" w:rsidP="00E2254E">
            <w:pPr>
              <w:widowControl w:val="0"/>
              <w:autoSpaceDE w:val="0"/>
              <w:autoSpaceDN w:val="0"/>
              <w:adjustRightInd w:val="0"/>
            </w:pPr>
          </w:p>
          <w:p w:rsidR="00E2254E" w:rsidRPr="00464BF1" w:rsidRDefault="00E2254E" w:rsidP="00E2254E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="Times"/>
                <w:szCs w:val="24"/>
              </w:rPr>
            </w:pPr>
            <w:r w:rsidRPr="00EC4E63">
              <w:rPr>
                <w:szCs w:val="24"/>
              </w:rPr>
              <w:t>Assess career o</w:t>
            </w:r>
            <w:r>
              <w:rPr>
                <w:szCs w:val="24"/>
              </w:rPr>
              <w:t>pportunities in arts management.</w:t>
            </w:r>
          </w:p>
          <w:p w:rsidR="002608C4" w:rsidRPr="004054B1" w:rsidRDefault="002608C4" w:rsidP="00C67190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2608C4" w:rsidRPr="004054B1">
        <w:trPr>
          <w:trHeight w:val="289"/>
          <w:jc w:val="center"/>
        </w:trPr>
        <w:tc>
          <w:tcPr>
            <w:tcW w:w="482" w:type="dxa"/>
          </w:tcPr>
          <w:p w:rsidR="002608C4" w:rsidRPr="004054B1" w:rsidRDefault="002608C4" w:rsidP="00C67190">
            <w:pPr>
              <w:rPr>
                <w:rFonts w:asciiTheme="minorHAnsi" w:hAnsiTheme="minorHAnsi"/>
                <w:color w:val="000000"/>
              </w:rPr>
            </w:pPr>
            <w:r w:rsidRPr="004054B1">
              <w:rPr>
                <w:rFonts w:asciiTheme="minorHAnsi" w:hAnsiTheme="minorHAnsi"/>
                <w:color w:val="000000"/>
              </w:rPr>
              <w:t>2</w:t>
            </w:r>
          </w:p>
        </w:tc>
        <w:tc>
          <w:tcPr>
            <w:tcW w:w="3150" w:type="dxa"/>
          </w:tcPr>
          <w:p w:rsidR="002608C4" w:rsidRPr="004054B1" w:rsidRDefault="002608C4" w:rsidP="00C67190">
            <w:pPr>
              <w:rPr>
                <w:rFonts w:asciiTheme="minorHAnsi" w:hAnsiTheme="minorHAnsi" w:cs="Arial"/>
                <w:bCs/>
                <w:color w:val="000000"/>
              </w:rPr>
            </w:pPr>
            <w:r w:rsidRPr="004054B1">
              <w:rPr>
                <w:rFonts w:asciiTheme="minorHAnsi" w:hAnsiTheme="minorHAnsi" w:cs="Arial"/>
                <w:bCs/>
                <w:color w:val="000000"/>
              </w:rPr>
              <w:t>Assessment Methods Plan</w:t>
            </w:r>
          </w:p>
          <w:p w:rsidR="002608C4" w:rsidRPr="004054B1" w:rsidRDefault="002608C4" w:rsidP="00282B81">
            <w:pPr>
              <w:rPr>
                <w:rFonts w:asciiTheme="minorHAnsi" w:hAnsiTheme="minorHAnsi" w:cs="Arial"/>
                <w:bCs/>
                <w:color w:val="000000"/>
              </w:rPr>
            </w:pPr>
            <w:r w:rsidRPr="004054B1">
              <w:rPr>
                <w:rFonts w:asciiTheme="minorHAnsi" w:hAnsiTheme="minorHAnsi" w:cs="Arial"/>
                <w:bCs/>
                <w:color w:val="000000"/>
              </w:rPr>
              <w:t>(</w:t>
            </w:r>
            <w:r w:rsidR="00282B81" w:rsidRPr="004054B1">
              <w:rPr>
                <w:rFonts w:asciiTheme="minorHAnsi" w:hAnsiTheme="minorHAnsi" w:cs="Arial"/>
                <w:bCs/>
                <w:color w:val="000000"/>
              </w:rPr>
              <w:t>identify</w:t>
            </w:r>
            <w:r w:rsidRPr="004054B1">
              <w:rPr>
                <w:rFonts w:asciiTheme="minorHAnsi" w:hAnsiTheme="minorHAnsi" w:cs="Arial"/>
                <w:bCs/>
                <w:color w:val="000000"/>
              </w:rPr>
              <w:t xml:space="preserve"> assessment instruments, scoring rubrics, SLO mapping diagrams)</w:t>
            </w:r>
          </w:p>
        </w:tc>
        <w:tc>
          <w:tcPr>
            <w:tcW w:w="10404" w:type="dxa"/>
          </w:tcPr>
          <w:p w:rsidR="00D97D82" w:rsidRDefault="00E2254E" w:rsidP="00D97D8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Student Learning Outcomes, the required and elective courses within the degree, and all of the Art History courses have been revised since the Spring 2012 CPAS.  </w:t>
            </w:r>
            <w:r w:rsidR="00D97D82">
              <w:rPr>
                <w:rFonts w:asciiTheme="minorHAnsi" w:hAnsiTheme="minorHAnsi" w:cs="Arial"/>
                <w:color w:val="000000"/>
                <w:sz w:val="20"/>
                <w:szCs w:val="20"/>
              </w:rPr>
              <w:t>(Please see the CPPR for a more detailed rationale for the changes.)</w:t>
            </w:r>
          </w:p>
          <w:p w:rsidR="00D97D82" w:rsidRDefault="00D97D82" w:rsidP="00D97D8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  <w:p w:rsidR="002608C4" w:rsidRPr="004054B1" w:rsidRDefault="00E2254E" w:rsidP="00D97D8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Students in the program have not yet been assessed since Spring 2012.  </w:t>
            </w:r>
            <w:r w:rsidR="00D97D82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 An asses</w:t>
            </w:r>
            <w:r w:rsidR="00090370">
              <w:rPr>
                <w:rFonts w:asciiTheme="minorHAnsi" w:hAnsiTheme="minorHAnsi" w:cs="Arial"/>
                <w:color w:val="000000"/>
                <w:sz w:val="20"/>
                <w:szCs w:val="20"/>
              </w:rPr>
              <w:t>sment is planned for Spring 2014</w:t>
            </w:r>
            <w:bookmarkStart w:id="0" w:name="_GoBack"/>
            <w:bookmarkEnd w:id="0"/>
            <w:r w:rsidR="00D97D82">
              <w:rPr>
                <w:rFonts w:asciiTheme="minorHAnsi" w:hAnsiTheme="minorHAnsi" w:cs="Arial"/>
                <w:color w:val="000000"/>
                <w:sz w:val="20"/>
                <w:szCs w:val="20"/>
              </w:rPr>
              <w:t>.</w:t>
            </w:r>
          </w:p>
        </w:tc>
      </w:tr>
      <w:tr w:rsidR="002608C4" w:rsidRPr="004054B1">
        <w:trPr>
          <w:trHeight w:val="289"/>
          <w:jc w:val="center"/>
        </w:trPr>
        <w:tc>
          <w:tcPr>
            <w:tcW w:w="482" w:type="dxa"/>
          </w:tcPr>
          <w:p w:rsidR="002608C4" w:rsidRPr="004054B1" w:rsidRDefault="002608C4" w:rsidP="00C67190">
            <w:pPr>
              <w:rPr>
                <w:rFonts w:asciiTheme="minorHAnsi" w:hAnsiTheme="minorHAnsi"/>
                <w:color w:val="000000"/>
              </w:rPr>
            </w:pPr>
            <w:r w:rsidRPr="004054B1">
              <w:rPr>
                <w:rFonts w:asciiTheme="minorHAnsi" w:hAnsiTheme="minorHAnsi"/>
                <w:color w:val="000000"/>
              </w:rPr>
              <w:t>3</w:t>
            </w:r>
          </w:p>
        </w:tc>
        <w:tc>
          <w:tcPr>
            <w:tcW w:w="3150" w:type="dxa"/>
          </w:tcPr>
          <w:p w:rsidR="002608C4" w:rsidRPr="004054B1" w:rsidRDefault="002608C4" w:rsidP="004054B1">
            <w:pPr>
              <w:rPr>
                <w:rFonts w:asciiTheme="minorHAnsi" w:hAnsiTheme="minorHAnsi" w:cs="Arial"/>
                <w:bCs/>
                <w:color w:val="000000"/>
              </w:rPr>
            </w:pPr>
            <w:r w:rsidRPr="004054B1">
              <w:rPr>
                <w:rFonts w:asciiTheme="minorHAnsi" w:hAnsiTheme="minorHAnsi" w:cs="Arial"/>
                <w:bCs/>
                <w:color w:val="000000"/>
              </w:rPr>
              <w:t xml:space="preserve">Assessment Administration Plan (date(s), sample size </w:t>
            </w:r>
            <w:r w:rsidR="006B4E34" w:rsidRPr="004054B1">
              <w:rPr>
                <w:rFonts w:asciiTheme="minorHAnsi" w:hAnsiTheme="minorHAnsi" w:cs="Arial"/>
                <w:bCs/>
                <w:color w:val="000000"/>
              </w:rPr>
              <w:t>or</w:t>
            </w:r>
            <w:r w:rsidRPr="004054B1">
              <w:rPr>
                <w:rFonts w:asciiTheme="minorHAnsi" w:hAnsiTheme="minorHAnsi" w:cs="Arial"/>
                <w:bCs/>
                <w:color w:val="000000"/>
              </w:rPr>
              <w:t xml:space="preserve"> selection of course sections, </w:t>
            </w:r>
            <w:r w:rsidRPr="004054B1">
              <w:rPr>
                <w:rFonts w:asciiTheme="minorHAnsi" w:hAnsiTheme="minorHAnsi" w:cs="Arial"/>
                <w:bCs/>
                <w:color w:val="000000"/>
              </w:rPr>
              <w:lastRenderedPageBreak/>
              <w:t>scoring procedures, etc.)</w:t>
            </w:r>
          </w:p>
        </w:tc>
        <w:tc>
          <w:tcPr>
            <w:tcW w:w="10404" w:type="dxa"/>
          </w:tcPr>
          <w:p w:rsidR="002608C4" w:rsidRPr="00EB2248" w:rsidRDefault="002608C4" w:rsidP="00C67190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</w:tr>
      <w:tr w:rsidR="002608C4" w:rsidRPr="004054B1">
        <w:trPr>
          <w:trHeight w:val="289"/>
          <w:jc w:val="center"/>
        </w:trPr>
        <w:tc>
          <w:tcPr>
            <w:tcW w:w="482" w:type="dxa"/>
          </w:tcPr>
          <w:p w:rsidR="002608C4" w:rsidRPr="004054B1" w:rsidRDefault="002608C4" w:rsidP="00C67190">
            <w:pPr>
              <w:rPr>
                <w:rFonts w:asciiTheme="minorHAnsi" w:hAnsiTheme="minorHAnsi"/>
                <w:color w:val="000000"/>
              </w:rPr>
            </w:pPr>
            <w:r w:rsidRPr="004054B1">
              <w:rPr>
                <w:rFonts w:asciiTheme="minorHAnsi" w:hAnsiTheme="minorHAnsi"/>
                <w:color w:val="000000"/>
              </w:rPr>
              <w:lastRenderedPageBreak/>
              <w:t>4</w:t>
            </w:r>
          </w:p>
        </w:tc>
        <w:tc>
          <w:tcPr>
            <w:tcW w:w="3150" w:type="dxa"/>
          </w:tcPr>
          <w:p w:rsidR="002608C4" w:rsidRPr="004054B1" w:rsidRDefault="002608C4" w:rsidP="004054B1">
            <w:pPr>
              <w:rPr>
                <w:rFonts w:asciiTheme="minorHAnsi" w:hAnsiTheme="minorHAnsi" w:cs="Arial"/>
                <w:bCs/>
                <w:color w:val="000000"/>
              </w:rPr>
            </w:pPr>
            <w:r w:rsidRPr="004054B1">
              <w:rPr>
                <w:rFonts w:asciiTheme="minorHAnsi" w:hAnsiTheme="minorHAnsi" w:cs="Arial"/>
                <w:bCs/>
                <w:color w:val="000000"/>
              </w:rPr>
              <w:t>Assessment Results Summary (</w:t>
            </w:r>
            <w:r w:rsidR="00282B81" w:rsidRPr="004054B1">
              <w:rPr>
                <w:rFonts w:asciiTheme="minorHAnsi" w:hAnsiTheme="minorHAnsi" w:cs="Arial"/>
                <w:bCs/>
                <w:color w:val="000000"/>
              </w:rPr>
              <w:t>summarize</w:t>
            </w:r>
            <w:r w:rsidR="004054B1" w:rsidRPr="004054B1">
              <w:rPr>
                <w:rFonts w:asciiTheme="minorHAnsi" w:hAnsiTheme="minorHAnsi" w:cs="Arial"/>
                <w:bCs/>
                <w:color w:val="000000"/>
              </w:rPr>
              <w:t xml:space="preserve"> Data</w:t>
            </w:r>
            <w:r w:rsidRPr="004054B1">
              <w:rPr>
                <w:rFonts w:asciiTheme="minorHAnsi" w:hAnsiTheme="minorHAnsi" w:cs="Arial"/>
                <w:bCs/>
                <w:color w:val="000000"/>
              </w:rPr>
              <w:t>)</w:t>
            </w:r>
          </w:p>
        </w:tc>
        <w:tc>
          <w:tcPr>
            <w:tcW w:w="10404" w:type="dxa"/>
          </w:tcPr>
          <w:p w:rsidR="002608C4" w:rsidRPr="004054B1" w:rsidRDefault="002608C4" w:rsidP="00EB2248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</w:tr>
      <w:tr w:rsidR="002608C4" w:rsidRPr="004054B1">
        <w:trPr>
          <w:trHeight w:val="289"/>
          <w:jc w:val="center"/>
        </w:trPr>
        <w:tc>
          <w:tcPr>
            <w:tcW w:w="482" w:type="dxa"/>
          </w:tcPr>
          <w:p w:rsidR="002608C4" w:rsidRPr="004054B1" w:rsidRDefault="002608C4" w:rsidP="00C67190">
            <w:pPr>
              <w:rPr>
                <w:rFonts w:asciiTheme="minorHAnsi" w:hAnsiTheme="minorHAnsi"/>
                <w:color w:val="000000"/>
              </w:rPr>
            </w:pPr>
            <w:r w:rsidRPr="004054B1">
              <w:rPr>
                <w:rFonts w:asciiTheme="minorHAnsi" w:hAnsiTheme="minorHAnsi"/>
                <w:color w:val="000000"/>
              </w:rPr>
              <w:t>5</w:t>
            </w:r>
          </w:p>
        </w:tc>
        <w:tc>
          <w:tcPr>
            <w:tcW w:w="3150" w:type="dxa"/>
          </w:tcPr>
          <w:p w:rsidR="002608C4" w:rsidRPr="004054B1" w:rsidRDefault="002608C4" w:rsidP="00C67190">
            <w:pPr>
              <w:rPr>
                <w:rFonts w:asciiTheme="minorHAnsi" w:hAnsiTheme="minorHAnsi" w:cs="Arial"/>
                <w:bCs/>
                <w:color w:val="000000"/>
              </w:rPr>
            </w:pPr>
            <w:r w:rsidRPr="004054B1">
              <w:rPr>
                <w:rFonts w:asciiTheme="minorHAnsi" w:hAnsiTheme="minorHAnsi" w:cs="Arial"/>
                <w:bCs/>
                <w:color w:val="000000"/>
              </w:rPr>
              <w:t xml:space="preserve">Discussion of Assessment Procedure and Results, and Effectiveness of Previous Improvement Plans </w:t>
            </w:r>
          </w:p>
        </w:tc>
        <w:tc>
          <w:tcPr>
            <w:tcW w:w="10404" w:type="dxa"/>
          </w:tcPr>
          <w:p w:rsidR="00EB2248" w:rsidRDefault="00EB2248" w:rsidP="00C67190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  <w:p w:rsidR="002608C4" w:rsidRPr="004054B1" w:rsidRDefault="002608C4" w:rsidP="00EB2248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</w:tr>
      <w:tr w:rsidR="002608C4" w:rsidRPr="004054B1">
        <w:trPr>
          <w:trHeight w:val="289"/>
          <w:jc w:val="center"/>
        </w:trPr>
        <w:tc>
          <w:tcPr>
            <w:tcW w:w="482" w:type="dxa"/>
          </w:tcPr>
          <w:p w:rsidR="002608C4" w:rsidRPr="004054B1" w:rsidRDefault="002608C4" w:rsidP="00C67190">
            <w:pPr>
              <w:rPr>
                <w:rFonts w:asciiTheme="minorHAnsi" w:hAnsiTheme="minorHAnsi"/>
                <w:color w:val="000000"/>
              </w:rPr>
            </w:pPr>
            <w:r w:rsidRPr="004054B1">
              <w:rPr>
                <w:rFonts w:asciiTheme="minorHAnsi" w:hAnsiTheme="minorHAnsi"/>
                <w:color w:val="000000"/>
              </w:rPr>
              <w:t>6</w:t>
            </w:r>
          </w:p>
        </w:tc>
        <w:tc>
          <w:tcPr>
            <w:tcW w:w="3150" w:type="dxa"/>
          </w:tcPr>
          <w:p w:rsidR="002608C4" w:rsidRPr="004054B1" w:rsidRDefault="002608C4" w:rsidP="00170E9C">
            <w:pPr>
              <w:rPr>
                <w:rFonts w:asciiTheme="minorHAnsi" w:hAnsiTheme="minorHAnsi" w:cs="Arial"/>
                <w:bCs/>
                <w:color w:val="000000"/>
              </w:rPr>
            </w:pPr>
            <w:r w:rsidRPr="004054B1">
              <w:rPr>
                <w:rFonts w:asciiTheme="minorHAnsi" w:hAnsiTheme="minorHAnsi" w:cs="Arial"/>
                <w:bCs/>
                <w:color w:val="000000"/>
              </w:rPr>
              <w:t>Recommended Changes &amp; Plans for Implementation of Improvements</w:t>
            </w:r>
          </w:p>
        </w:tc>
        <w:tc>
          <w:tcPr>
            <w:tcW w:w="10404" w:type="dxa"/>
          </w:tcPr>
          <w:p w:rsidR="002608C4" w:rsidRPr="004054B1" w:rsidRDefault="00E2254E" w:rsidP="00021447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000000"/>
                <w:sz w:val="20"/>
                <w:szCs w:val="20"/>
              </w:rPr>
              <w:t>The Art History program needs a full-time faculty member to over the program. (Please see the CPPR for a more detailed description on the plans and needs.)</w:t>
            </w:r>
          </w:p>
        </w:tc>
      </w:tr>
      <w:tr w:rsidR="006B4E34" w:rsidRPr="004054B1">
        <w:trPr>
          <w:trHeight w:val="289"/>
          <w:jc w:val="center"/>
        </w:trPr>
        <w:tc>
          <w:tcPr>
            <w:tcW w:w="482" w:type="dxa"/>
          </w:tcPr>
          <w:p w:rsidR="006B4E34" w:rsidRPr="004054B1" w:rsidRDefault="006B4E34" w:rsidP="00C67190">
            <w:pPr>
              <w:rPr>
                <w:rFonts w:asciiTheme="minorHAnsi" w:hAnsiTheme="minorHAnsi"/>
                <w:color w:val="000000"/>
              </w:rPr>
            </w:pPr>
            <w:r w:rsidRPr="004054B1">
              <w:rPr>
                <w:rFonts w:asciiTheme="minorHAnsi" w:hAnsiTheme="minorHAnsi"/>
                <w:color w:val="000000"/>
              </w:rPr>
              <w:t>7</w:t>
            </w:r>
          </w:p>
        </w:tc>
        <w:tc>
          <w:tcPr>
            <w:tcW w:w="3150" w:type="dxa"/>
          </w:tcPr>
          <w:p w:rsidR="006B4E34" w:rsidRPr="004054B1" w:rsidRDefault="006B4E34" w:rsidP="00457B9B">
            <w:pPr>
              <w:rPr>
                <w:rFonts w:asciiTheme="minorHAnsi" w:hAnsiTheme="minorHAnsi" w:cs="Arial"/>
                <w:bCs/>
                <w:color w:val="000000"/>
              </w:rPr>
            </w:pPr>
            <w:r w:rsidRPr="004054B1">
              <w:rPr>
                <w:rFonts w:asciiTheme="minorHAnsi" w:hAnsiTheme="minorHAnsi" w:cs="Arial"/>
                <w:bCs/>
                <w:color w:val="000000"/>
              </w:rPr>
              <w:t xml:space="preserve">Description or evidence of dialog among course or program-level faculty </w:t>
            </w:r>
            <w:r w:rsidR="00457B9B" w:rsidRPr="004054B1">
              <w:rPr>
                <w:rFonts w:asciiTheme="minorHAnsi" w:hAnsiTheme="minorHAnsi" w:cs="Arial"/>
                <w:bCs/>
                <w:color w:val="000000"/>
              </w:rPr>
              <w:t xml:space="preserve">about assessment plan and results </w:t>
            </w:r>
          </w:p>
        </w:tc>
        <w:tc>
          <w:tcPr>
            <w:tcW w:w="10404" w:type="dxa"/>
          </w:tcPr>
          <w:p w:rsidR="006B4E34" w:rsidRPr="004054B1" w:rsidRDefault="00E2254E" w:rsidP="00E2254E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000000"/>
                <w:sz w:val="20"/>
                <w:szCs w:val="20"/>
              </w:rPr>
              <w:t>Part-time faculty meet for a “breakout” session after the division meeting each Opening Day.  In addition, they are meeting for informal gatherings once a month to talk about pedagogical issues.</w:t>
            </w:r>
          </w:p>
        </w:tc>
      </w:tr>
    </w:tbl>
    <w:p w:rsidR="00DA1D48" w:rsidRPr="004054B1" w:rsidRDefault="00DA1D48">
      <w:pPr>
        <w:rPr>
          <w:rFonts w:asciiTheme="minorHAnsi" w:hAnsiTheme="minorHAnsi"/>
        </w:rPr>
      </w:pPr>
    </w:p>
    <w:p w:rsidR="001B6B41" w:rsidRPr="004054B1" w:rsidRDefault="00015545">
      <w:pPr>
        <w:rPr>
          <w:rFonts w:asciiTheme="minorHAnsi" w:hAnsiTheme="minorHAnsi"/>
        </w:rPr>
      </w:pPr>
      <w:r w:rsidRPr="004054B1">
        <w:rPr>
          <w:rFonts w:asciiTheme="minorHAnsi" w:hAnsiTheme="minorHAnsi"/>
        </w:rPr>
        <w:t>**</w:t>
      </w:r>
      <w:r w:rsidR="00DA1D48" w:rsidRPr="004054B1">
        <w:rPr>
          <w:rFonts w:asciiTheme="minorHAnsi" w:hAnsiTheme="minorHAnsi"/>
        </w:rPr>
        <w:t xml:space="preserve">Course and program level </w:t>
      </w:r>
      <w:r w:rsidR="001B6B41" w:rsidRPr="004054B1">
        <w:rPr>
          <w:rFonts w:asciiTheme="minorHAnsi" w:hAnsiTheme="minorHAnsi"/>
        </w:rPr>
        <w:t>outcomes are requir</w:t>
      </w:r>
      <w:r w:rsidR="00DA1D48" w:rsidRPr="004054B1">
        <w:rPr>
          <w:rFonts w:asciiTheme="minorHAnsi" w:hAnsiTheme="minorHAnsi"/>
        </w:rPr>
        <w:t xml:space="preserve">ed </w:t>
      </w:r>
      <w:r w:rsidR="009B3747" w:rsidRPr="004054B1">
        <w:rPr>
          <w:rFonts w:asciiTheme="minorHAnsi" w:hAnsiTheme="minorHAnsi"/>
        </w:rPr>
        <w:t xml:space="preserve">by ACCJC </w:t>
      </w:r>
      <w:r w:rsidR="00DA1D48" w:rsidRPr="004054B1">
        <w:rPr>
          <w:rFonts w:asciiTheme="minorHAnsi" w:hAnsiTheme="minorHAnsi"/>
        </w:rPr>
        <w:t xml:space="preserve">to be aligned.  Each program needs to complete a program map to show the alignment.  See examples </w:t>
      </w:r>
      <w:r w:rsidRPr="004054B1">
        <w:rPr>
          <w:rFonts w:asciiTheme="minorHAnsi" w:hAnsiTheme="minorHAnsi"/>
        </w:rPr>
        <w:t xml:space="preserve">of completed CPAS and program mapping documents are available </w:t>
      </w:r>
      <w:r w:rsidR="00DA1D48" w:rsidRPr="004054B1">
        <w:rPr>
          <w:rFonts w:asciiTheme="minorHAnsi" w:hAnsiTheme="minorHAnsi"/>
        </w:rPr>
        <w:t xml:space="preserve">at </w:t>
      </w:r>
      <w:hyperlink r:id="rId6" w:history="1">
        <w:r w:rsidR="00DA1D48" w:rsidRPr="004054B1">
          <w:rPr>
            <w:rStyle w:val="Hyperlink"/>
            <w:rFonts w:asciiTheme="minorHAnsi" w:hAnsiTheme="minorHAnsi"/>
          </w:rPr>
          <w:t>http://academic.cuesta.edu/sloa</w:t>
        </w:r>
      </w:hyperlink>
      <w:r w:rsidR="00DA1D48" w:rsidRPr="004054B1">
        <w:rPr>
          <w:rFonts w:asciiTheme="minorHAnsi" w:hAnsiTheme="minorHAnsi"/>
        </w:rPr>
        <w:t xml:space="preserve">  </w:t>
      </w:r>
    </w:p>
    <w:sectPr w:rsidR="001B6B41" w:rsidRPr="004054B1" w:rsidSect="006B4E34">
      <w:pgSz w:w="15840" w:h="12240" w:orient="landscape"/>
      <w:pgMar w:top="630" w:right="720" w:bottom="720" w:left="100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CF304A"/>
    <w:multiLevelType w:val="hybridMultilevel"/>
    <w:tmpl w:val="90CC50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oNotTrackMoves/>
  <w:defaultTabStop w:val="720"/>
  <w:drawingGridHorizontalSpacing w:val="120"/>
  <w:displayHorizontalDrawingGridEvery w:val="2"/>
  <w:characterSpacingControl w:val="doNotCompress"/>
  <w:compat/>
  <w:rsids>
    <w:rsidRoot w:val="003A2038"/>
    <w:rsid w:val="000062B5"/>
    <w:rsid w:val="00015545"/>
    <w:rsid w:val="00016C6B"/>
    <w:rsid w:val="00021447"/>
    <w:rsid w:val="000358B7"/>
    <w:rsid w:val="00047064"/>
    <w:rsid w:val="00072EE6"/>
    <w:rsid w:val="000812AA"/>
    <w:rsid w:val="00090370"/>
    <w:rsid w:val="000D5D96"/>
    <w:rsid w:val="000E2407"/>
    <w:rsid w:val="00170E9C"/>
    <w:rsid w:val="00185917"/>
    <w:rsid w:val="001B6B41"/>
    <w:rsid w:val="001C0CA9"/>
    <w:rsid w:val="001C7D88"/>
    <w:rsid w:val="001E6A6C"/>
    <w:rsid w:val="001F773B"/>
    <w:rsid w:val="002000ED"/>
    <w:rsid w:val="0022109C"/>
    <w:rsid w:val="00247DEA"/>
    <w:rsid w:val="00253571"/>
    <w:rsid w:val="002608C4"/>
    <w:rsid w:val="002679C4"/>
    <w:rsid w:val="00270D9A"/>
    <w:rsid w:val="002753D4"/>
    <w:rsid w:val="00282B81"/>
    <w:rsid w:val="0029334C"/>
    <w:rsid w:val="002F63E6"/>
    <w:rsid w:val="00303739"/>
    <w:rsid w:val="00336D16"/>
    <w:rsid w:val="00386199"/>
    <w:rsid w:val="003A2038"/>
    <w:rsid w:val="003B5262"/>
    <w:rsid w:val="003B6554"/>
    <w:rsid w:val="003D7543"/>
    <w:rsid w:val="003E7BBB"/>
    <w:rsid w:val="004054B1"/>
    <w:rsid w:val="00421F10"/>
    <w:rsid w:val="00427AF5"/>
    <w:rsid w:val="00451859"/>
    <w:rsid w:val="00457B9B"/>
    <w:rsid w:val="00475B5C"/>
    <w:rsid w:val="004F27C8"/>
    <w:rsid w:val="00577121"/>
    <w:rsid w:val="005A321D"/>
    <w:rsid w:val="005F550C"/>
    <w:rsid w:val="006233F5"/>
    <w:rsid w:val="00660462"/>
    <w:rsid w:val="00680C88"/>
    <w:rsid w:val="006B4E34"/>
    <w:rsid w:val="006C0C31"/>
    <w:rsid w:val="00737D81"/>
    <w:rsid w:val="00764ECE"/>
    <w:rsid w:val="0077445C"/>
    <w:rsid w:val="007915BF"/>
    <w:rsid w:val="007E4CDF"/>
    <w:rsid w:val="007E5053"/>
    <w:rsid w:val="00800F95"/>
    <w:rsid w:val="00844E1A"/>
    <w:rsid w:val="008D0E6C"/>
    <w:rsid w:val="008D5194"/>
    <w:rsid w:val="0090173C"/>
    <w:rsid w:val="009120A6"/>
    <w:rsid w:val="0093260B"/>
    <w:rsid w:val="009376C3"/>
    <w:rsid w:val="00944CD1"/>
    <w:rsid w:val="009B3747"/>
    <w:rsid w:val="009B4C2E"/>
    <w:rsid w:val="00A3144C"/>
    <w:rsid w:val="00A32A72"/>
    <w:rsid w:val="00A37847"/>
    <w:rsid w:val="00A67F4E"/>
    <w:rsid w:val="00B15A25"/>
    <w:rsid w:val="00B20A16"/>
    <w:rsid w:val="00B40878"/>
    <w:rsid w:val="00B53EBB"/>
    <w:rsid w:val="00B75A77"/>
    <w:rsid w:val="00BA634A"/>
    <w:rsid w:val="00BF1309"/>
    <w:rsid w:val="00BF1A99"/>
    <w:rsid w:val="00C431A6"/>
    <w:rsid w:val="00C5266F"/>
    <w:rsid w:val="00C67190"/>
    <w:rsid w:val="00C944BC"/>
    <w:rsid w:val="00CA52E2"/>
    <w:rsid w:val="00CA5492"/>
    <w:rsid w:val="00CC00BF"/>
    <w:rsid w:val="00D24CD5"/>
    <w:rsid w:val="00D97D82"/>
    <w:rsid w:val="00DA1D48"/>
    <w:rsid w:val="00DE1584"/>
    <w:rsid w:val="00E2254E"/>
    <w:rsid w:val="00E548A6"/>
    <w:rsid w:val="00EB2248"/>
    <w:rsid w:val="00ED3FB4"/>
    <w:rsid w:val="00EF2683"/>
    <w:rsid w:val="00F07F66"/>
    <w:rsid w:val="00F12F98"/>
    <w:rsid w:val="00F25F67"/>
    <w:rsid w:val="00F6294E"/>
    <w:rsid w:val="00F759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2038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A20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5">
    <w:name w:val="heading 5"/>
    <w:basedOn w:val="Normal"/>
    <w:next w:val="Normal"/>
    <w:link w:val="Heading5Char"/>
    <w:uiPriority w:val="99"/>
    <w:qFormat/>
    <w:rsid w:val="003A203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A2038"/>
    <w:rPr>
      <w:rFonts w:eastAsia="Times New Roman" w:cs="Arial"/>
      <w:b/>
      <w:bCs/>
      <w:kern w:val="32"/>
      <w:sz w:val="32"/>
      <w:szCs w:val="32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3A2038"/>
    <w:rPr>
      <w:rFonts w:ascii="Calibri" w:hAnsi="Calibri" w:cs="Times New Roman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3A203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3A2038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1D4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E5053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2254E"/>
    <w:pPr>
      <w:ind w:left="720"/>
      <w:contextualSpacing/>
    </w:pPr>
    <w:rPr>
      <w:rFonts w:ascii="Times" w:eastAsia="Times" w:hAnsi="Times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cademic.cuesta.edu/sloa" TargetMode="External"/><Relationship Id="rId5" Type="http://schemas.openxmlformats.org/officeDocument/2006/relationships/hyperlink" Target="http://academic.cuesta.edu/sloa/docs/Course_and_Program_Assessment_Summary_F_2011.docx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501</Words>
  <Characters>2859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Cuesta College</Company>
  <LinksUpToDate>false</LinksUpToDate>
  <CharactersWithSpaces>3354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gbaxley</dc:creator>
  <cp:keywords/>
  <dc:description/>
  <cp:lastModifiedBy>gbaxley</cp:lastModifiedBy>
  <cp:revision>2</cp:revision>
  <cp:lastPrinted>2012-03-07T17:51:00Z</cp:lastPrinted>
  <dcterms:created xsi:type="dcterms:W3CDTF">2013-10-30T21:42:00Z</dcterms:created>
  <dcterms:modified xsi:type="dcterms:W3CDTF">2013-10-30T21:42:00Z</dcterms:modified>
</cp:coreProperties>
</file>