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13" w:rsidRDefault="00147D13" w:rsidP="003475FF">
      <w:pPr>
        <w:jc w:val="center"/>
        <w:rPr>
          <w:rFonts w:asciiTheme="majorHAnsi" w:hAnsiTheme="majorHAnsi"/>
          <w:sz w:val="22"/>
          <w:szCs w:val="22"/>
        </w:rPr>
      </w:pPr>
      <w:r w:rsidRPr="00AC73D3">
        <w:rPr>
          <w:rFonts w:asciiTheme="majorHAnsi" w:hAnsiTheme="majorHAnsi"/>
          <w:noProof/>
          <w:sz w:val="22"/>
          <w:szCs w:val="22"/>
        </w:rPr>
        <w:drawing>
          <wp:inline distT="0" distB="0" distL="0" distR="0">
            <wp:extent cx="1549197" cy="5213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783" cy="52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34" w:rsidRDefault="008E7C34" w:rsidP="003475FF">
      <w:pPr>
        <w:jc w:val="center"/>
        <w:rPr>
          <w:rFonts w:asciiTheme="majorHAnsi" w:hAnsiTheme="majorHAnsi"/>
          <w:sz w:val="22"/>
          <w:szCs w:val="22"/>
        </w:rPr>
      </w:pPr>
    </w:p>
    <w:p w:rsidR="008E7C34" w:rsidRDefault="00A70C80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Citizens</w:t>
      </w:r>
      <w:r w:rsidR="00E80018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 </w:t>
      </w:r>
      <w:r w:rsidR="00A94D04">
        <w:rPr>
          <w:b/>
          <w:sz w:val="28"/>
          <w:szCs w:val="28"/>
        </w:rPr>
        <w:t xml:space="preserve">Bond </w:t>
      </w:r>
      <w:r>
        <w:rPr>
          <w:b/>
          <w:sz w:val="28"/>
          <w:szCs w:val="28"/>
        </w:rPr>
        <w:t>Oversight Committee</w:t>
      </w:r>
    </w:p>
    <w:p w:rsidR="00A97191" w:rsidRPr="00761BAE" w:rsidRDefault="0061470E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A97191" w:rsidRDefault="005026E7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2</w:t>
      </w:r>
      <w:r w:rsidR="00A83D36">
        <w:rPr>
          <w:b/>
          <w:sz w:val="28"/>
          <w:szCs w:val="28"/>
        </w:rPr>
        <w:t>6, 2017</w:t>
      </w:r>
    </w:p>
    <w:p w:rsidR="00731248" w:rsidRDefault="00A83D36" w:rsidP="00731248">
      <w:pPr>
        <w:jc w:val="center"/>
        <w:outlineLvl w:val="0"/>
        <w:rPr>
          <w:b/>
          <w:sz w:val="28"/>
          <w:szCs w:val="28"/>
        </w:rPr>
      </w:pPr>
      <w:r w:rsidRPr="00A83D36">
        <w:rPr>
          <w:b/>
          <w:sz w:val="28"/>
          <w:szCs w:val="28"/>
        </w:rPr>
        <w:t>3</w:t>
      </w:r>
      <w:r w:rsidR="00731248" w:rsidRPr="00A83D36">
        <w:rPr>
          <w:b/>
          <w:sz w:val="28"/>
          <w:szCs w:val="28"/>
        </w:rPr>
        <w:t>:00 pm</w:t>
      </w:r>
      <w:r w:rsidRPr="00A83D36">
        <w:rPr>
          <w:b/>
          <w:sz w:val="28"/>
          <w:szCs w:val="28"/>
        </w:rPr>
        <w:t xml:space="preserve"> – 4:3</w:t>
      </w:r>
      <w:r w:rsidR="00731248" w:rsidRPr="00A83D36">
        <w:rPr>
          <w:b/>
          <w:sz w:val="28"/>
          <w:szCs w:val="28"/>
        </w:rPr>
        <w:t>0 p.m</w:t>
      </w:r>
      <w:r w:rsidR="00731248">
        <w:rPr>
          <w:b/>
          <w:sz w:val="28"/>
          <w:szCs w:val="28"/>
        </w:rPr>
        <w:t>.</w:t>
      </w:r>
    </w:p>
    <w:p w:rsidR="00924BB2" w:rsidRDefault="00731248" w:rsidP="007A404B">
      <w:pPr>
        <w:jc w:val="center"/>
        <w:outlineLvl w:val="0"/>
        <w:rPr>
          <w:rFonts w:asciiTheme="majorHAnsi" w:hAnsiTheme="majorHAnsi"/>
          <w:b/>
          <w:sz w:val="22"/>
          <w:szCs w:val="22"/>
        </w:rPr>
      </w:pPr>
      <w:r>
        <w:rPr>
          <w:b/>
          <w:sz w:val="28"/>
          <w:szCs w:val="28"/>
        </w:rPr>
        <w:t xml:space="preserve"> Building 7500, Room 7506</w:t>
      </w:r>
    </w:p>
    <w:tbl>
      <w:tblPr>
        <w:tblW w:w="14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"/>
        <w:gridCol w:w="4229"/>
        <w:gridCol w:w="360"/>
        <w:gridCol w:w="3420"/>
        <w:gridCol w:w="360"/>
        <w:gridCol w:w="2250"/>
        <w:gridCol w:w="270"/>
        <w:gridCol w:w="2764"/>
        <w:gridCol w:w="263"/>
        <w:gridCol w:w="304"/>
      </w:tblGrid>
      <w:tr w:rsidR="00E8504C" w:rsidRPr="009A5F3B" w:rsidTr="007A20AE">
        <w:trPr>
          <w:gridAfter w:val="1"/>
          <w:wAfter w:w="304" w:type="dxa"/>
          <w:cantSplit/>
          <w:trHeight w:val="171"/>
        </w:trPr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4C" w:rsidRDefault="00E8504C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COMMITTEE MEMBERS: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4C" w:rsidRDefault="00E8504C" w:rsidP="007A40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DISTRICT STAFF:</w:t>
            </w:r>
            <w:r w:rsidR="00412C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04C" w:rsidRPr="009A5F3B" w:rsidRDefault="00E8504C" w:rsidP="00A97191">
            <w:pPr>
              <w:rPr>
                <w:b/>
                <w:sz w:val="20"/>
                <w:szCs w:val="20"/>
              </w:rPr>
            </w:pPr>
          </w:p>
        </w:tc>
      </w:tr>
      <w:tr w:rsidR="007A20AE" w:rsidRPr="009A5F3B" w:rsidTr="007A20AE">
        <w:trPr>
          <w:cantSplit/>
          <w:trHeight w:val="35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477B05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412C0E" w:rsidP="00412C0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Gayla</w:t>
            </w:r>
            <w:proofErr w:type="spellEnd"/>
            <w:r>
              <w:rPr>
                <w:b/>
                <w:sz w:val="20"/>
                <w:szCs w:val="20"/>
              </w:rPr>
              <w:t xml:space="preserve"> Chapman</w:t>
            </w:r>
            <w:r w:rsidR="004B60A0" w:rsidRPr="004B60A0">
              <w:rPr>
                <w:b/>
                <w:sz w:val="18"/>
                <w:szCs w:val="18"/>
              </w:rPr>
              <w:t xml:space="preserve"> (At-Large Rep)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412C0E" w:rsidP="00412C0E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142520" w:rsidRDefault="00412C0E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Lathrop (Chair)</w:t>
            </w:r>
            <w:r w:rsidR="004B60A0">
              <w:rPr>
                <w:b/>
                <w:sz w:val="20"/>
                <w:szCs w:val="20"/>
              </w:rPr>
              <w:t xml:space="preserve"> </w:t>
            </w:r>
            <w:r w:rsidR="004B60A0" w:rsidRPr="007A404B">
              <w:rPr>
                <w:b/>
                <w:sz w:val="18"/>
                <w:szCs w:val="18"/>
              </w:rPr>
              <w:t>(At-Large Rep)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391C1A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412C0E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Patrice Eley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Default="00391C1A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Default="00412C0E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Terry Reece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C0E" w:rsidRPr="009A5F3B" w:rsidRDefault="00412C0E" w:rsidP="00412C0E">
            <w:pPr>
              <w:rPr>
                <w:b/>
                <w:sz w:val="20"/>
                <w:szCs w:val="20"/>
              </w:rPr>
            </w:pPr>
          </w:p>
        </w:tc>
      </w:tr>
      <w:tr w:rsidR="007A20AE" w:rsidRPr="009A5F3B" w:rsidTr="007A20AE">
        <w:trPr>
          <w:cantSplit/>
          <w:trHeight w:val="17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391C1A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412C0E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Susan Dressler</w:t>
            </w:r>
            <w:r w:rsidR="007A20AE">
              <w:rPr>
                <w:b/>
                <w:sz w:val="20"/>
                <w:szCs w:val="20"/>
              </w:rPr>
              <w:t xml:space="preserve"> </w:t>
            </w:r>
            <w:r w:rsidR="007A20AE" w:rsidRPr="007A20AE">
              <w:rPr>
                <w:b/>
                <w:sz w:val="20"/>
                <w:szCs w:val="20"/>
              </w:rPr>
              <w:t>(Vice-Chair)</w:t>
            </w:r>
            <w:r w:rsidR="004B60A0" w:rsidRPr="007A20AE">
              <w:rPr>
                <w:b/>
                <w:sz w:val="16"/>
                <w:szCs w:val="16"/>
              </w:rPr>
              <w:t xml:space="preserve"> </w:t>
            </w:r>
            <w:r w:rsidR="007A20AE">
              <w:rPr>
                <w:b/>
                <w:sz w:val="16"/>
                <w:szCs w:val="16"/>
              </w:rPr>
              <w:t xml:space="preserve">(Senior Group </w:t>
            </w:r>
            <w:r w:rsidR="004B60A0" w:rsidRPr="007A20AE">
              <w:rPr>
                <w:b/>
                <w:sz w:val="16"/>
                <w:szCs w:val="16"/>
              </w:rPr>
              <w:t>Rep)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391C1A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412C0E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Patrick O’Hara</w:t>
            </w:r>
            <w:r w:rsidR="004B60A0">
              <w:rPr>
                <w:b/>
                <w:sz w:val="20"/>
                <w:szCs w:val="20"/>
              </w:rPr>
              <w:t xml:space="preserve"> </w:t>
            </w:r>
            <w:r w:rsidR="004B60A0" w:rsidRPr="007A404B">
              <w:rPr>
                <w:b/>
                <w:sz w:val="18"/>
                <w:szCs w:val="18"/>
              </w:rPr>
              <w:t>(Business Rep)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412C0E" w:rsidP="00412C0E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412C0E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Merlynn Foppiano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Default="00391C1A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Default="00412C0E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Nikki Rocha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C0E" w:rsidRPr="009A5F3B" w:rsidRDefault="00412C0E" w:rsidP="00412C0E">
            <w:pPr>
              <w:rPr>
                <w:b/>
                <w:sz w:val="20"/>
                <w:szCs w:val="20"/>
              </w:rPr>
            </w:pPr>
          </w:p>
        </w:tc>
      </w:tr>
      <w:tr w:rsidR="007A20AE" w:rsidRPr="009A5F3B" w:rsidTr="007A20AE">
        <w:trPr>
          <w:cantSplit/>
          <w:trHeight w:val="17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391C1A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412C0E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Jordan </w:t>
            </w:r>
            <w:proofErr w:type="spellStart"/>
            <w:r>
              <w:rPr>
                <w:b/>
                <w:sz w:val="20"/>
                <w:szCs w:val="20"/>
              </w:rPr>
              <w:t>Jantzen</w:t>
            </w:r>
            <w:proofErr w:type="spellEnd"/>
            <w:r w:rsidR="004B60A0">
              <w:rPr>
                <w:b/>
                <w:sz w:val="20"/>
                <w:szCs w:val="20"/>
              </w:rPr>
              <w:t xml:space="preserve"> </w:t>
            </w:r>
            <w:r w:rsidR="004B60A0" w:rsidRPr="004B60A0">
              <w:rPr>
                <w:b/>
                <w:sz w:val="18"/>
                <w:szCs w:val="18"/>
              </w:rPr>
              <w:t>(Student Rep)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391C1A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412C0E" w:rsidP="00412C0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Anneka</w:t>
            </w:r>
            <w:proofErr w:type="spellEnd"/>
            <w:r>
              <w:rPr>
                <w:b/>
                <w:sz w:val="20"/>
                <w:szCs w:val="20"/>
              </w:rPr>
              <w:t xml:space="preserve"> Scranton</w:t>
            </w:r>
            <w:r w:rsidR="004B60A0">
              <w:rPr>
                <w:b/>
                <w:sz w:val="20"/>
                <w:szCs w:val="20"/>
              </w:rPr>
              <w:t xml:space="preserve"> </w:t>
            </w:r>
            <w:r w:rsidR="004B60A0" w:rsidRPr="007A404B">
              <w:rPr>
                <w:b/>
                <w:sz w:val="18"/>
                <w:szCs w:val="18"/>
              </w:rPr>
              <w:t>(Support Org. Rep)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391C1A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Pr="009A5F3B" w:rsidRDefault="00412C0E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Green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Default="00412C0E" w:rsidP="00412C0E">
            <w:pPr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E" w:rsidRDefault="00412C0E" w:rsidP="00412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Gil Stork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C0E" w:rsidRPr="009A5F3B" w:rsidRDefault="00412C0E" w:rsidP="00412C0E">
            <w:pPr>
              <w:rPr>
                <w:b/>
                <w:sz w:val="20"/>
                <w:szCs w:val="20"/>
              </w:rPr>
            </w:pPr>
          </w:p>
        </w:tc>
      </w:tr>
      <w:tr w:rsidR="007A20AE" w:rsidRPr="009A5F3B" w:rsidTr="007A20AE">
        <w:trPr>
          <w:cantSplit/>
          <w:trHeight w:val="17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Default="00391C1A" w:rsidP="00391C1A">
            <w:pPr>
              <w:rPr>
                <w:b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Pr="009A5F3B" w:rsidRDefault="00391C1A" w:rsidP="00391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Mark Johnson </w:t>
            </w:r>
            <w:r w:rsidRPr="004B60A0">
              <w:rPr>
                <w:b/>
                <w:sz w:val="18"/>
                <w:szCs w:val="18"/>
              </w:rPr>
              <w:t>(Taxpayer Rep)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Default="00391C1A" w:rsidP="00391C1A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Default="00391C1A" w:rsidP="00391C1A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Pr="009A5F3B" w:rsidRDefault="00391C1A" w:rsidP="00391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Default="00391C1A" w:rsidP="00391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McAlister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Default="00391C1A" w:rsidP="00391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Default="00391C1A" w:rsidP="00391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 Troy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C1A" w:rsidRPr="009A5F3B" w:rsidRDefault="00391C1A" w:rsidP="00391C1A">
            <w:pPr>
              <w:rPr>
                <w:b/>
                <w:sz w:val="20"/>
                <w:szCs w:val="20"/>
              </w:rPr>
            </w:pPr>
          </w:p>
        </w:tc>
      </w:tr>
      <w:tr w:rsidR="007A20AE" w:rsidRPr="007A19E5" w:rsidTr="007A20AE">
        <w:trPr>
          <w:cantSplit/>
          <w:trHeight w:val="17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Pr="009A5F3B" w:rsidRDefault="00391C1A" w:rsidP="00391C1A">
            <w:pPr>
              <w:rPr>
                <w:b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Pr="009A5F3B" w:rsidRDefault="00391C1A" w:rsidP="00391C1A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Pr="009A5F3B" w:rsidRDefault="00391C1A" w:rsidP="00391C1A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Pr="009A5F3B" w:rsidRDefault="00391C1A" w:rsidP="00391C1A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Pr="009A5F3B" w:rsidRDefault="00391C1A" w:rsidP="00391C1A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Pr="009F3749" w:rsidRDefault="00391C1A" w:rsidP="00391C1A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Default="00391C1A" w:rsidP="00391C1A">
            <w:pPr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A" w:rsidRPr="009A5F3B" w:rsidRDefault="00391C1A" w:rsidP="00391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GUESTS: Diane Bergantz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C1A" w:rsidRPr="007A19E5" w:rsidRDefault="00391C1A" w:rsidP="00391C1A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4616" w:type="dxa"/>
        <w:tblLayout w:type="fixed"/>
        <w:tblLook w:val="00A0" w:firstRow="1" w:lastRow="0" w:firstColumn="1" w:lastColumn="0" w:noHBand="0" w:noVBand="0"/>
      </w:tblPr>
      <w:tblGrid>
        <w:gridCol w:w="5508"/>
        <w:gridCol w:w="1507"/>
        <w:gridCol w:w="833"/>
        <w:gridCol w:w="990"/>
        <w:gridCol w:w="5778"/>
      </w:tblGrid>
      <w:tr w:rsidR="006C0537" w:rsidRPr="00AC73D3" w:rsidTr="004B60A0">
        <w:tc>
          <w:tcPr>
            <w:tcW w:w="550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AGENDA ITEMS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- DOCUMENTS</w:t>
            </w:r>
          </w:p>
        </w:tc>
        <w:tc>
          <w:tcPr>
            <w:tcW w:w="1507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WHO</w:t>
            </w:r>
          </w:p>
        </w:tc>
        <w:tc>
          <w:tcPr>
            <w:tcW w:w="833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TIME</w:t>
            </w:r>
          </w:p>
        </w:tc>
        <w:tc>
          <w:tcPr>
            <w:tcW w:w="990" w:type="dxa"/>
          </w:tcPr>
          <w:p w:rsidR="006C0537" w:rsidRPr="00A97191" w:rsidRDefault="006C0537" w:rsidP="006C053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INTENT</w:t>
            </w:r>
          </w:p>
        </w:tc>
        <w:tc>
          <w:tcPr>
            <w:tcW w:w="577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NOTES</w:t>
            </w:r>
          </w:p>
        </w:tc>
      </w:tr>
      <w:tr w:rsidR="006C0537" w:rsidRPr="00AC73D3" w:rsidTr="004B60A0">
        <w:tc>
          <w:tcPr>
            <w:tcW w:w="5508" w:type="dxa"/>
          </w:tcPr>
          <w:p w:rsidR="005F2637" w:rsidRPr="000E69E7" w:rsidRDefault="006C0537" w:rsidP="008E7C3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2055D">
              <w:rPr>
                <w:rFonts w:asciiTheme="majorHAnsi" w:hAnsiTheme="majorHAnsi"/>
                <w:b/>
                <w:sz w:val="22"/>
                <w:szCs w:val="22"/>
              </w:rPr>
              <w:t xml:space="preserve">1. </w:t>
            </w:r>
            <w:r w:rsidR="00746401">
              <w:rPr>
                <w:rFonts w:asciiTheme="majorHAnsi" w:hAnsiTheme="majorHAnsi"/>
                <w:b/>
                <w:sz w:val="22"/>
                <w:szCs w:val="22"/>
              </w:rPr>
              <w:t>Approval of A</w:t>
            </w:r>
            <w:r w:rsidRPr="00A97191">
              <w:rPr>
                <w:rFonts w:asciiTheme="majorHAnsi" w:hAnsiTheme="majorHAnsi"/>
                <w:b/>
                <w:sz w:val="22"/>
                <w:szCs w:val="22"/>
              </w:rPr>
              <w:t>genda</w:t>
            </w:r>
          </w:p>
        </w:tc>
        <w:tc>
          <w:tcPr>
            <w:tcW w:w="1507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C73D3"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833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A404B">
              <w:rPr>
                <w:rFonts w:asciiTheme="majorHAnsi" w:hAnsiTheme="majorHAnsi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min</w:t>
            </w:r>
          </w:p>
        </w:tc>
        <w:tc>
          <w:tcPr>
            <w:tcW w:w="99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5778" w:type="dxa"/>
          </w:tcPr>
          <w:p w:rsidR="000B32FF" w:rsidRPr="007A20AE" w:rsidRDefault="00391C1A" w:rsidP="00B24AD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D. Troy lead introductions of meeting attendees</w:t>
            </w:r>
            <w:r w:rsidR="000B32FF" w:rsidRPr="007A20A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6C0537" w:rsidRPr="007A20AE" w:rsidRDefault="000B32FF" w:rsidP="00B24ADA">
            <w:pPr>
              <w:rPr>
                <w:rFonts w:asciiTheme="majorHAnsi" w:hAnsiTheme="majorHAnsi"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Motion </w:t>
            </w:r>
            <w:r w:rsidR="000770F1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by S. Dressler </w:t>
            </w:r>
            <w:proofErr w:type="gramStart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was made</w:t>
            </w:r>
            <w:proofErr w:type="gramEnd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to approve the agenda.</w:t>
            </w:r>
            <w:r w:rsidR="00265E0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 Agenda </w:t>
            </w:r>
            <w:proofErr w:type="gramStart"/>
            <w:r w:rsidR="00265E0E" w:rsidRPr="007A20AE">
              <w:rPr>
                <w:rFonts w:asciiTheme="majorHAnsi" w:hAnsiTheme="majorHAnsi"/>
                <w:b/>
                <w:sz w:val="20"/>
                <w:szCs w:val="20"/>
              </w:rPr>
              <w:t>was approved</w:t>
            </w:r>
            <w:proofErr w:type="gramEnd"/>
            <w:r w:rsidR="00265E0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unanimously.</w:t>
            </w:r>
            <w:r w:rsidR="00391C1A" w:rsidRPr="007A20AE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</w:p>
        </w:tc>
      </w:tr>
      <w:tr w:rsidR="008E7C34" w:rsidRPr="00AC73D3" w:rsidTr="004B60A0">
        <w:tc>
          <w:tcPr>
            <w:tcW w:w="5508" w:type="dxa"/>
          </w:tcPr>
          <w:p w:rsidR="008E7C34" w:rsidRDefault="00501A6C" w:rsidP="008E7C3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8E7C34">
              <w:rPr>
                <w:rFonts w:asciiTheme="majorHAnsi" w:hAnsiTheme="majorHAnsi"/>
                <w:b/>
                <w:sz w:val="22"/>
                <w:szCs w:val="22"/>
              </w:rPr>
              <w:t>. Public Comment</w:t>
            </w:r>
          </w:p>
        </w:tc>
        <w:tc>
          <w:tcPr>
            <w:tcW w:w="1507" w:type="dxa"/>
          </w:tcPr>
          <w:p w:rsidR="008E7C34" w:rsidRPr="005E7343" w:rsidRDefault="008E7C34" w:rsidP="004D44E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833" w:type="dxa"/>
          </w:tcPr>
          <w:p w:rsidR="008E7C34" w:rsidRDefault="008E7C34" w:rsidP="004D44E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8E7C34" w:rsidRDefault="008E7C34" w:rsidP="004D44E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8E7C34" w:rsidRPr="007A20AE" w:rsidRDefault="000B32FF" w:rsidP="00B24AD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No Public Comment.</w:t>
            </w:r>
          </w:p>
        </w:tc>
      </w:tr>
      <w:tr w:rsidR="0054263C" w:rsidRPr="00AC73D3" w:rsidTr="004B60A0">
        <w:tc>
          <w:tcPr>
            <w:tcW w:w="5508" w:type="dxa"/>
          </w:tcPr>
          <w:p w:rsidR="0054263C" w:rsidRDefault="00412C0E" w:rsidP="005026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3.  Election of Vice</w:t>
            </w:r>
            <w:r w:rsidR="0054263C">
              <w:rPr>
                <w:rFonts w:asciiTheme="majorHAnsi" w:hAnsiTheme="majorHAnsi"/>
                <w:b/>
                <w:sz w:val="22"/>
                <w:szCs w:val="22"/>
              </w:rPr>
              <w:t>-Chair</w:t>
            </w:r>
          </w:p>
        </w:tc>
        <w:tc>
          <w:tcPr>
            <w:tcW w:w="1507" w:type="dxa"/>
          </w:tcPr>
          <w:p w:rsidR="0054263C" w:rsidRDefault="002F24E0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All</w:t>
            </w:r>
          </w:p>
        </w:tc>
        <w:tc>
          <w:tcPr>
            <w:tcW w:w="833" w:type="dxa"/>
          </w:tcPr>
          <w:p w:rsidR="0054263C" w:rsidRDefault="002F24E0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54263C" w:rsidRDefault="002F24E0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D, A</w:t>
            </w:r>
          </w:p>
        </w:tc>
        <w:tc>
          <w:tcPr>
            <w:tcW w:w="5778" w:type="dxa"/>
          </w:tcPr>
          <w:p w:rsidR="0054263C" w:rsidRPr="007A20AE" w:rsidRDefault="000B32FF" w:rsidP="00B24AD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S. Dressler volunteered to serve as Vice-Chair, approved by unanimous vote.</w:t>
            </w:r>
          </w:p>
        </w:tc>
      </w:tr>
      <w:tr w:rsidR="00412C0E" w:rsidRPr="00AC73D3" w:rsidTr="004B60A0">
        <w:tc>
          <w:tcPr>
            <w:tcW w:w="5508" w:type="dxa"/>
          </w:tcPr>
          <w:p w:rsidR="00412C0E" w:rsidRDefault="00412C0E" w:rsidP="002F24E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4.  Minutes of March 16, 2017 </w:t>
            </w:r>
          </w:p>
          <w:p w:rsidR="002F24E0" w:rsidRDefault="002F24E0" w:rsidP="002F24E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507" w:type="dxa"/>
          </w:tcPr>
          <w:p w:rsidR="00412C0E" w:rsidRDefault="002F24E0" w:rsidP="002F24E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Vice-Chair</w:t>
            </w:r>
          </w:p>
        </w:tc>
        <w:tc>
          <w:tcPr>
            <w:tcW w:w="833" w:type="dxa"/>
          </w:tcPr>
          <w:p w:rsidR="00412C0E" w:rsidRDefault="002F24E0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min</w:t>
            </w:r>
          </w:p>
        </w:tc>
        <w:tc>
          <w:tcPr>
            <w:tcW w:w="990" w:type="dxa"/>
          </w:tcPr>
          <w:p w:rsidR="00412C0E" w:rsidRDefault="002F24E0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D, A</w:t>
            </w:r>
          </w:p>
        </w:tc>
        <w:tc>
          <w:tcPr>
            <w:tcW w:w="5778" w:type="dxa"/>
          </w:tcPr>
          <w:p w:rsidR="00412C0E" w:rsidRPr="007A20AE" w:rsidRDefault="000B32FF" w:rsidP="000B32FF">
            <w:pPr>
              <w:rPr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Upon motion by Scranton/</w:t>
            </w:r>
            <w:proofErr w:type="spellStart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Jantzen</w:t>
            </w:r>
            <w:proofErr w:type="spellEnd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, the minutes of March 16, 2017 </w:t>
            </w:r>
            <w:proofErr w:type="gramStart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were unanimously approved</w:t>
            </w:r>
            <w:proofErr w:type="gramEnd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412C0E" w:rsidRPr="00AC73D3" w:rsidTr="004B60A0">
        <w:tc>
          <w:tcPr>
            <w:tcW w:w="5508" w:type="dxa"/>
          </w:tcPr>
          <w:p w:rsidR="00412C0E" w:rsidRDefault="00412C0E" w:rsidP="00412C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5. First Issuance Overview</w:t>
            </w:r>
          </w:p>
          <w:p w:rsidR="002F24E0" w:rsidRPr="0054263C" w:rsidRDefault="00412C0E" w:rsidP="002F24E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Project Status</w:t>
            </w:r>
          </w:p>
        </w:tc>
        <w:tc>
          <w:tcPr>
            <w:tcW w:w="1507" w:type="dxa"/>
          </w:tcPr>
          <w:p w:rsidR="00412C0E" w:rsidRDefault="002F24E0" w:rsidP="00412C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Reece</w:t>
            </w:r>
          </w:p>
        </w:tc>
        <w:tc>
          <w:tcPr>
            <w:tcW w:w="833" w:type="dxa"/>
          </w:tcPr>
          <w:p w:rsidR="00412C0E" w:rsidRDefault="007A404B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min</w:t>
            </w:r>
          </w:p>
        </w:tc>
        <w:tc>
          <w:tcPr>
            <w:tcW w:w="990" w:type="dxa"/>
          </w:tcPr>
          <w:p w:rsidR="00412C0E" w:rsidRDefault="007A404B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412C0E" w:rsidRPr="007A20AE" w:rsidRDefault="000B32FF" w:rsidP="00412C0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T. Reece/B. McAlister </w:t>
            </w:r>
            <w:r w:rsidR="00265E0E" w:rsidRPr="007A20AE">
              <w:rPr>
                <w:rFonts w:asciiTheme="majorHAnsi" w:hAnsiTheme="majorHAnsi"/>
                <w:b/>
                <w:sz w:val="20"/>
                <w:szCs w:val="20"/>
              </w:rPr>
              <w:t>provided an over</w:t>
            </w:r>
            <w:r w:rsidR="0026260F" w:rsidRPr="007A20AE">
              <w:rPr>
                <w:rFonts w:asciiTheme="majorHAnsi" w:hAnsiTheme="majorHAnsi"/>
                <w:b/>
                <w:sz w:val="20"/>
                <w:szCs w:val="20"/>
              </w:rPr>
              <w:t>view</w:t>
            </w:r>
            <w:r w:rsidR="00265E0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of the status of the San Luis Obispo Instructional Building (SLO-IB) &amp; North County Campus Center (NC-CC).  SLO-IB is approximately 90% </w:t>
            </w:r>
            <w:proofErr w:type="gramStart"/>
            <w:r w:rsidR="00265E0E" w:rsidRPr="007A20AE">
              <w:rPr>
                <w:rFonts w:asciiTheme="majorHAnsi" w:hAnsiTheme="majorHAnsi"/>
                <w:b/>
                <w:sz w:val="20"/>
                <w:szCs w:val="20"/>
              </w:rPr>
              <w:t>complete,</w:t>
            </w:r>
            <w:proofErr w:type="gramEnd"/>
            <w:r w:rsidR="00265E0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furniture for building is arriving on site.</w:t>
            </w:r>
          </w:p>
          <w:p w:rsidR="0026260F" w:rsidRPr="007A20AE" w:rsidRDefault="0026260F" w:rsidP="00412C0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NC-CC is approximately 80% complete, skylight on second floor </w:t>
            </w:r>
            <w:proofErr w:type="gramStart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being installed</w:t>
            </w:r>
            <w:proofErr w:type="gramEnd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265E0E" w:rsidRPr="007A20AE" w:rsidRDefault="00265E0E" w:rsidP="00412C0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B. McAlister shared that surveys </w:t>
            </w:r>
            <w:proofErr w:type="gramStart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were sent</w:t>
            </w:r>
            <w:proofErr w:type="gramEnd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to faculty &amp; student body for inpu</w:t>
            </w:r>
            <w:r w:rsidR="0026260F" w:rsidRPr="007A20AE">
              <w:rPr>
                <w:rFonts w:asciiTheme="majorHAnsi" w:hAnsiTheme="majorHAnsi"/>
                <w:b/>
                <w:sz w:val="20"/>
                <w:szCs w:val="20"/>
              </w:rPr>
              <w:t>t on furniture with a response of over 60% providing feedback.</w:t>
            </w:r>
          </w:p>
          <w:p w:rsidR="0026260F" w:rsidRPr="007A20AE" w:rsidRDefault="0026260F" w:rsidP="00412C0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Parking Lot 10 on North Coun</w:t>
            </w:r>
            <w:r w:rsidR="0061470E">
              <w:rPr>
                <w:rFonts w:asciiTheme="majorHAnsi" w:hAnsiTheme="majorHAnsi"/>
                <w:b/>
                <w:sz w:val="20"/>
                <w:szCs w:val="20"/>
              </w:rPr>
              <w:t>ty campus is nearing completion</w:t>
            </w: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on </w:t>
            </w:r>
            <w:r w:rsidR="0061470E">
              <w:rPr>
                <w:rFonts w:asciiTheme="majorHAnsi" w:hAnsiTheme="majorHAnsi"/>
                <w:b/>
                <w:sz w:val="20"/>
                <w:szCs w:val="20"/>
              </w:rPr>
              <w:t>improvements</w:t>
            </w: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26260F" w:rsidRPr="007A20AE" w:rsidRDefault="0026260F" w:rsidP="002626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Plant Science Project was managed by bond </w:t>
            </w:r>
            <w:r w:rsidR="007C7101" w:rsidRPr="007A20AE">
              <w:rPr>
                <w:rFonts w:asciiTheme="majorHAnsi" w:hAnsiTheme="majorHAnsi"/>
                <w:b/>
                <w:sz w:val="20"/>
                <w:szCs w:val="20"/>
              </w:rPr>
              <w:t>personnel</w:t>
            </w:r>
            <w:proofErr w:type="gramEnd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.  Project was fast.  Structures </w:t>
            </w:r>
            <w:proofErr w:type="gramStart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were completed</w:t>
            </w:r>
            <w:proofErr w:type="gramEnd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within 6 months.</w:t>
            </w:r>
          </w:p>
        </w:tc>
      </w:tr>
      <w:tr w:rsidR="00412C0E" w:rsidRPr="00AC73D3" w:rsidTr="004B60A0">
        <w:tc>
          <w:tcPr>
            <w:tcW w:w="5508" w:type="dxa"/>
          </w:tcPr>
          <w:p w:rsidR="00412C0E" w:rsidRDefault="00412C0E" w:rsidP="00412C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6.  Second Issuance Update</w:t>
            </w:r>
          </w:p>
        </w:tc>
        <w:tc>
          <w:tcPr>
            <w:tcW w:w="1507" w:type="dxa"/>
          </w:tcPr>
          <w:p w:rsidR="00412C0E" w:rsidRDefault="002F24E0" w:rsidP="00412C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Reece</w:t>
            </w:r>
          </w:p>
        </w:tc>
        <w:tc>
          <w:tcPr>
            <w:tcW w:w="833" w:type="dxa"/>
          </w:tcPr>
          <w:p w:rsidR="00412C0E" w:rsidRDefault="007A404B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min</w:t>
            </w:r>
          </w:p>
        </w:tc>
        <w:tc>
          <w:tcPr>
            <w:tcW w:w="990" w:type="dxa"/>
          </w:tcPr>
          <w:p w:rsidR="00412C0E" w:rsidRDefault="007A404B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6A06F9" w:rsidRPr="007A20AE" w:rsidRDefault="0026260F" w:rsidP="006A06F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T. Reece </w:t>
            </w:r>
            <w:r w:rsidR="006A06F9" w:rsidRPr="007A20AE">
              <w:rPr>
                <w:rFonts w:asciiTheme="majorHAnsi" w:hAnsiTheme="majorHAnsi"/>
                <w:b/>
                <w:sz w:val="20"/>
                <w:szCs w:val="20"/>
              </w:rPr>
              <w:t>provided sta</w:t>
            </w:r>
            <w:r w:rsidR="0061470E">
              <w:rPr>
                <w:rFonts w:asciiTheme="majorHAnsi" w:hAnsiTheme="majorHAnsi"/>
                <w:b/>
                <w:sz w:val="20"/>
                <w:szCs w:val="20"/>
              </w:rPr>
              <w:t>tus of Second Issuance projects.  These projects are as follows:</w:t>
            </w:r>
          </w:p>
          <w:p w:rsidR="0061470E" w:rsidRDefault="0061470E" w:rsidP="0061470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Aquatic Center in planning stage</w:t>
            </w:r>
          </w:p>
          <w:p w:rsidR="0061470E" w:rsidRDefault="006A06F9" w:rsidP="0061470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61470E">
              <w:rPr>
                <w:rFonts w:asciiTheme="majorHAnsi" w:hAnsiTheme="majorHAnsi"/>
                <w:b/>
                <w:sz w:val="20"/>
                <w:szCs w:val="20"/>
              </w:rPr>
              <w:t>North County Early Childhood Development plans</w:t>
            </w:r>
            <w:r w:rsidR="0061470E">
              <w:rPr>
                <w:rFonts w:asciiTheme="majorHAnsi" w:hAnsiTheme="majorHAnsi"/>
                <w:b/>
                <w:sz w:val="20"/>
                <w:szCs w:val="20"/>
              </w:rPr>
              <w:t xml:space="preserve"> are at the Department of State Architecture (DSA) under review.  Project will bid in first quarter of 2018</w:t>
            </w:r>
          </w:p>
          <w:p w:rsidR="0061470E" w:rsidRDefault="006A06F9" w:rsidP="00AA527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61470E">
              <w:rPr>
                <w:rFonts w:asciiTheme="majorHAnsi" w:hAnsiTheme="majorHAnsi"/>
                <w:b/>
                <w:sz w:val="20"/>
                <w:szCs w:val="20"/>
              </w:rPr>
              <w:t xml:space="preserve">Data Center plans are at the Department of State Architecture (DSA) under review.  </w:t>
            </w:r>
            <w:r w:rsidR="0061470E">
              <w:rPr>
                <w:rFonts w:asciiTheme="majorHAnsi" w:hAnsiTheme="majorHAnsi"/>
                <w:b/>
                <w:sz w:val="20"/>
                <w:szCs w:val="20"/>
              </w:rPr>
              <w:t>Project will bid in first quarter of 2018.</w:t>
            </w:r>
          </w:p>
          <w:p w:rsidR="0061470E" w:rsidRDefault="0061470E" w:rsidP="005122E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61470E">
              <w:rPr>
                <w:rFonts w:asciiTheme="majorHAnsi" w:hAnsiTheme="majorHAnsi"/>
                <w:b/>
                <w:sz w:val="20"/>
                <w:szCs w:val="20"/>
              </w:rPr>
              <w:t xml:space="preserve">Renovation of the 1000 </w:t>
            </w:r>
            <w:r w:rsidR="006A06F9" w:rsidRPr="0061470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B24ADA" w:rsidRPr="0061470E">
              <w:rPr>
                <w:rFonts w:asciiTheme="majorHAnsi" w:hAnsiTheme="majorHAnsi"/>
                <w:b/>
                <w:sz w:val="20"/>
                <w:szCs w:val="20"/>
              </w:rPr>
              <w:t xml:space="preserve">building </w:t>
            </w:r>
            <w:r w:rsidR="006A06F9" w:rsidRPr="0061470E">
              <w:rPr>
                <w:rFonts w:asciiTheme="majorHAnsi" w:hAnsiTheme="majorHAnsi"/>
                <w:b/>
                <w:sz w:val="20"/>
                <w:szCs w:val="20"/>
              </w:rPr>
              <w:t xml:space="preserve">complex </w:t>
            </w:r>
          </w:p>
          <w:p w:rsidR="006A06F9" w:rsidRPr="0061470E" w:rsidRDefault="0061470E" w:rsidP="005122E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Wayfinding, maps and signage </w:t>
            </w:r>
            <w:r w:rsidR="007B32ED" w:rsidRPr="0061470E">
              <w:rPr>
                <w:rFonts w:asciiTheme="majorHAnsi" w:hAnsiTheme="majorHAnsi"/>
                <w:b/>
                <w:sz w:val="20"/>
                <w:szCs w:val="20"/>
              </w:rPr>
              <w:t>will be included in second issuance.</w:t>
            </w:r>
          </w:p>
          <w:p w:rsidR="007B32ED" w:rsidRPr="007A20AE" w:rsidRDefault="006A06F9" w:rsidP="0061470E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D. Troy shared that </w:t>
            </w:r>
            <w:r w:rsidR="0061470E">
              <w:rPr>
                <w:rFonts w:asciiTheme="majorHAnsi" w:hAnsiTheme="majorHAnsi"/>
                <w:b/>
                <w:sz w:val="20"/>
                <w:szCs w:val="20"/>
              </w:rPr>
              <w:t xml:space="preserve">he, Dr. Stork and Terry Reece </w:t>
            </w: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will </w:t>
            </w:r>
            <w:r w:rsidR="0061470E">
              <w:rPr>
                <w:rFonts w:asciiTheme="majorHAnsi" w:hAnsiTheme="majorHAnsi"/>
                <w:b/>
                <w:sz w:val="20"/>
                <w:szCs w:val="20"/>
              </w:rPr>
              <w:t xml:space="preserve">go </w:t>
            </w: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to </w:t>
            </w:r>
            <w:r w:rsidR="00B24ADA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San Francisco to </w:t>
            </w: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present to Standards &amp; </w:t>
            </w:r>
            <w:proofErr w:type="spellStart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Poors</w:t>
            </w:r>
            <w:proofErr w:type="spellEnd"/>
            <w:r w:rsidR="0012687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for ratings</w:t>
            </w:r>
            <w:r w:rsidR="00B24ADA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in December</w:t>
            </w:r>
            <w:r w:rsidR="0012687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.  </w:t>
            </w:r>
            <w:r w:rsidR="0061470E">
              <w:rPr>
                <w:rFonts w:asciiTheme="majorHAnsi" w:hAnsiTheme="majorHAnsi"/>
                <w:b/>
                <w:sz w:val="20"/>
                <w:szCs w:val="20"/>
              </w:rPr>
              <w:t>The go</w:t>
            </w:r>
            <w:r w:rsidR="0012687E" w:rsidRPr="007A20AE">
              <w:rPr>
                <w:rFonts w:asciiTheme="majorHAnsi" w:hAnsiTheme="majorHAnsi"/>
                <w:b/>
                <w:sz w:val="20"/>
                <w:szCs w:val="20"/>
              </w:rPr>
              <w:t>al</w:t>
            </w:r>
            <w:r w:rsidR="008674B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is to </w:t>
            </w:r>
            <w:proofErr w:type="gramStart"/>
            <w:r w:rsidR="008674BE" w:rsidRPr="007A20AE">
              <w:rPr>
                <w:rFonts w:asciiTheme="majorHAnsi" w:hAnsiTheme="majorHAnsi"/>
                <w:b/>
                <w:sz w:val="20"/>
                <w:szCs w:val="20"/>
              </w:rPr>
              <w:t>be issued</w:t>
            </w:r>
            <w:proofErr w:type="gramEnd"/>
            <w:r w:rsidR="008674B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a rating of AA</w:t>
            </w: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</w:p>
        </w:tc>
      </w:tr>
      <w:tr w:rsidR="00412C0E" w:rsidRPr="00AC73D3" w:rsidTr="004B60A0">
        <w:tc>
          <w:tcPr>
            <w:tcW w:w="5508" w:type="dxa"/>
          </w:tcPr>
          <w:p w:rsidR="00412C0E" w:rsidRDefault="00412C0E" w:rsidP="00412C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7. Financial Report Update</w:t>
            </w:r>
          </w:p>
        </w:tc>
        <w:tc>
          <w:tcPr>
            <w:tcW w:w="1507" w:type="dxa"/>
          </w:tcPr>
          <w:p w:rsidR="00412C0E" w:rsidRPr="005F2637" w:rsidRDefault="00412C0E" w:rsidP="00412C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Troy/Green</w:t>
            </w:r>
          </w:p>
        </w:tc>
        <w:tc>
          <w:tcPr>
            <w:tcW w:w="833" w:type="dxa"/>
          </w:tcPr>
          <w:p w:rsidR="00412C0E" w:rsidRDefault="00412C0E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 min</w:t>
            </w:r>
          </w:p>
        </w:tc>
        <w:tc>
          <w:tcPr>
            <w:tcW w:w="990" w:type="dxa"/>
          </w:tcPr>
          <w:p w:rsidR="00412C0E" w:rsidRDefault="00412C0E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6A06F9" w:rsidRPr="007A20AE" w:rsidRDefault="006A06F9" w:rsidP="001268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C. Green went over the Quarterly Financial </w:t>
            </w:r>
            <w:r w:rsidR="0012687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Reports </w:t>
            </w:r>
            <w:r w:rsidR="00485294">
              <w:rPr>
                <w:rFonts w:asciiTheme="majorHAnsi" w:hAnsiTheme="majorHAnsi"/>
                <w:b/>
                <w:sz w:val="20"/>
                <w:szCs w:val="20"/>
              </w:rPr>
              <w:t>listed below:</w:t>
            </w:r>
          </w:p>
          <w:p w:rsidR="00412C0E" w:rsidRPr="007A20AE" w:rsidRDefault="00412C0E" w:rsidP="00412C0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March 31, 2017</w:t>
            </w:r>
          </w:p>
          <w:p w:rsidR="00412C0E" w:rsidRPr="007A20AE" w:rsidRDefault="00412C0E" w:rsidP="00412C0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June 30, 2017</w:t>
            </w:r>
          </w:p>
          <w:p w:rsidR="00412C0E" w:rsidRPr="007A20AE" w:rsidRDefault="00412C0E" w:rsidP="00412C0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September 30, 2017</w:t>
            </w:r>
          </w:p>
          <w:p w:rsidR="0012687E" w:rsidRPr="007A20AE" w:rsidRDefault="00485294" w:rsidP="004852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C. Green was asked what would happen i</w:t>
            </w:r>
            <w:r w:rsidR="007B32ED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f there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we</w:t>
            </w:r>
            <w:r w:rsidR="007B32ED" w:rsidRPr="007A20AE">
              <w:rPr>
                <w:rFonts w:asciiTheme="majorHAnsi" w:hAnsiTheme="majorHAnsi"/>
                <w:b/>
                <w:sz w:val="20"/>
                <w:szCs w:val="20"/>
              </w:rPr>
              <w:t>re unspent</w:t>
            </w:r>
            <w:r w:rsidR="0012687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funds from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an issuance.</w:t>
            </w:r>
            <w:r w:rsidR="0012687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He responded that t</w:t>
            </w:r>
            <w:r w:rsidR="0012687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his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scenario wa</w:t>
            </w:r>
            <w:r w:rsidR="0012687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s very unlikely, but should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it </w:t>
            </w:r>
            <w:r w:rsidR="0012687E" w:rsidRPr="007A20AE">
              <w:rPr>
                <w:rFonts w:asciiTheme="majorHAnsi" w:hAnsiTheme="majorHAnsi"/>
                <w:b/>
                <w:sz w:val="20"/>
                <w:szCs w:val="20"/>
              </w:rPr>
              <w:t>happen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12687E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the funds would roll to next issuance.</w:t>
            </w:r>
          </w:p>
        </w:tc>
      </w:tr>
      <w:tr w:rsidR="00412C0E" w:rsidRPr="00AC73D3" w:rsidTr="004B60A0">
        <w:tc>
          <w:tcPr>
            <w:tcW w:w="5508" w:type="dxa"/>
          </w:tcPr>
          <w:p w:rsidR="00412C0E" w:rsidRDefault="00412C0E" w:rsidP="00412C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8.  Update on Committee Membership</w:t>
            </w:r>
          </w:p>
          <w:p w:rsidR="00412C0E" w:rsidRPr="00412C0E" w:rsidRDefault="00412C0E" w:rsidP="00412C0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507" w:type="dxa"/>
          </w:tcPr>
          <w:p w:rsidR="00412C0E" w:rsidRDefault="007A404B" w:rsidP="00412C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Troy</w:t>
            </w:r>
          </w:p>
        </w:tc>
        <w:tc>
          <w:tcPr>
            <w:tcW w:w="833" w:type="dxa"/>
          </w:tcPr>
          <w:p w:rsidR="00412C0E" w:rsidRDefault="007A404B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412C0E" w:rsidRDefault="002F24E0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412C0E" w:rsidRPr="007A20AE" w:rsidRDefault="00485294" w:rsidP="004852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The c</w:t>
            </w:r>
            <w:r w:rsidR="007B32ED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ommittee welcomed J. </w:t>
            </w:r>
            <w:proofErr w:type="spellStart"/>
            <w:r w:rsidR="007B32ED" w:rsidRPr="007A20AE">
              <w:rPr>
                <w:rFonts w:asciiTheme="majorHAnsi" w:hAnsiTheme="majorHAnsi"/>
                <w:b/>
                <w:sz w:val="20"/>
                <w:szCs w:val="20"/>
              </w:rPr>
              <w:t>Jantzen</w:t>
            </w:r>
            <w:proofErr w:type="spellEnd"/>
            <w:r w:rsidR="00B24ADA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as the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new </w:t>
            </w:r>
            <w:r w:rsidR="00B24ADA" w:rsidRPr="007A20AE">
              <w:rPr>
                <w:rFonts w:asciiTheme="majorHAnsi" w:hAnsiTheme="majorHAnsi"/>
                <w:b/>
                <w:sz w:val="20"/>
                <w:szCs w:val="20"/>
              </w:rPr>
              <w:t>student representative</w:t>
            </w:r>
            <w:r w:rsidR="007B32ED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. 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The committee discussed if it was possible to add additional members if there was interest in joining the committee.  Troy responded that yes, additional members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could be added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but that the</w:t>
            </w:r>
            <w:r w:rsidR="007B32ED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Board of Trustee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7B32ED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would need </w:t>
            </w:r>
            <w:r w:rsidR="007B32ED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to approve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any new committee</w:t>
            </w:r>
            <w:r w:rsidR="007B32ED"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members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412C0E" w:rsidRPr="00AC73D3" w:rsidTr="004B60A0">
        <w:tc>
          <w:tcPr>
            <w:tcW w:w="5508" w:type="dxa"/>
          </w:tcPr>
          <w:p w:rsidR="00412C0E" w:rsidRDefault="00412C0E" w:rsidP="00412C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9. Future Agenda Items</w:t>
            </w:r>
          </w:p>
          <w:p w:rsidR="00412C0E" w:rsidRDefault="00412C0E" w:rsidP="00412C0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Possible Meeting Dates in March 2018 </w:t>
            </w:r>
          </w:p>
          <w:p w:rsidR="00412C0E" w:rsidRDefault="00412C0E" w:rsidP="00412C0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Annual Report</w:t>
            </w:r>
          </w:p>
          <w:p w:rsidR="00412C0E" w:rsidRPr="00412C0E" w:rsidRDefault="00412C0E" w:rsidP="00412C0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Tour of NCC –</w:t>
            </w:r>
            <w:r w:rsidR="002F24E0">
              <w:rPr>
                <w:rFonts w:asciiTheme="majorHAnsi" w:hAnsiTheme="majorHAnsi"/>
                <w:b/>
                <w:sz w:val="22"/>
                <w:szCs w:val="22"/>
              </w:rPr>
              <w:t xml:space="preserve"> Campus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Center</w:t>
            </w:r>
          </w:p>
        </w:tc>
        <w:tc>
          <w:tcPr>
            <w:tcW w:w="1507" w:type="dxa"/>
          </w:tcPr>
          <w:p w:rsidR="00412C0E" w:rsidRPr="00FB4DF8" w:rsidRDefault="00412C0E" w:rsidP="00412C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4DF8">
              <w:rPr>
                <w:rFonts w:asciiTheme="majorHAnsi" w:hAnsiTheme="majorHAnsi"/>
                <w:sz w:val="20"/>
                <w:szCs w:val="20"/>
              </w:rPr>
              <w:t>All</w:t>
            </w:r>
          </w:p>
        </w:tc>
        <w:tc>
          <w:tcPr>
            <w:tcW w:w="833" w:type="dxa"/>
          </w:tcPr>
          <w:p w:rsidR="00412C0E" w:rsidRDefault="00412C0E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412C0E" w:rsidRDefault="00412C0E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412C0E" w:rsidRPr="007A20AE" w:rsidRDefault="00854B38" w:rsidP="00B24AD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District will send out a poll to members for feedback on the best date in March 2018 to hold meeting.</w:t>
            </w:r>
          </w:p>
          <w:p w:rsidR="00854B38" w:rsidRPr="007A20AE" w:rsidRDefault="00854B38" w:rsidP="00B24AD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Annual report will be available at the March meeting, with a draft for review prior to the meeting.</w:t>
            </w:r>
          </w:p>
          <w:p w:rsidR="00854B38" w:rsidRPr="007A20AE" w:rsidRDefault="00854B38" w:rsidP="00B24AD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March 2018 meeting </w:t>
            </w:r>
            <w:proofErr w:type="gramStart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will be held</w:t>
            </w:r>
            <w:proofErr w:type="gramEnd"/>
            <w:r w:rsidRPr="007A20AE">
              <w:rPr>
                <w:rFonts w:asciiTheme="majorHAnsi" w:hAnsiTheme="majorHAnsi"/>
                <w:b/>
                <w:sz w:val="20"/>
                <w:szCs w:val="20"/>
              </w:rPr>
              <w:t xml:space="preserve"> at the North County Campus</w:t>
            </w:r>
            <w:r w:rsidR="00B24ADA" w:rsidRPr="007A20A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412C0E" w:rsidRPr="00AC73D3" w:rsidTr="004B60A0">
        <w:tc>
          <w:tcPr>
            <w:tcW w:w="5508" w:type="dxa"/>
          </w:tcPr>
          <w:p w:rsidR="00412C0E" w:rsidRDefault="00412C0E" w:rsidP="00412C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10.  Adjournment</w:t>
            </w:r>
          </w:p>
        </w:tc>
        <w:tc>
          <w:tcPr>
            <w:tcW w:w="1507" w:type="dxa"/>
          </w:tcPr>
          <w:p w:rsidR="00412C0E" w:rsidRPr="00FB4DF8" w:rsidRDefault="002F24E0" w:rsidP="00412C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Vice-Chair</w:t>
            </w:r>
          </w:p>
        </w:tc>
        <w:tc>
          <w:tcPr>
            <w:tcW w:w="833" w:type="dxa"/>
          </w:tcPr>
          <w:p w:rsidR="00412C0E" w:rsidRDefault="007A404B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2F24E0">
              <w:rPr>
                <w:rFonts w:asciiTheme="majorHAnsi" w:hAnsiTheme="majorHAnsi"/>
                <w:sz w:val="22"/>
                <w:szCs w:val="22"/>
              </w:rPr>
              <w:t xml:space="preserve"> min</w:t>
            </w:r>
          </w:p>
        </w:tc>
        <w:tc>
          <w:tcPr>
            <w:tcW w:w="990" w:type="dxa"/>
          </w:tcPr>
          <w:p w:rsidR="00412C0E" w:rsidRDefault="002F24E0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5778" w:type="dxa"/>
          </w:tcPr>
          <w:p w:rsidR="00412C0E" w:rsidRPr="007A20AE" w:rsidRDefault="00854B38" w:rsidP="00B24AD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The meeting adjourned at 3</w:t>
            </w:r>
            <w:r w:rsidR="00B24ADA" w:rsidRPr="007A20AE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35pm.</w:t>
            </w:r>
          </w:p>
        </w:tc>
      </w:tr>
      <w:tr w:rsidR="00412C0E" w:rsidRPr="00AC73D3" w:rsidTr="004B60A0">
        <w:tc>
          <w:tcPr>
            <w:tcW w:w="5508" w:type="dxa"/>
          </w:tcPr>
          <w:p w:rsidR="00412C0E" w:rsidRDefault="00412C0E" w:rsidP="00412C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11. Tour of Instructional Building on the SLO campus</w:t>
            </w:r>
          </w:p>
        </w:tc>
        <w:tc>
          <w:tcPr>
            <w:tcW w:w="1507" w:type="dxa"/>
          </w:tcPr>
          <w:p w:rsidR="00412C0E" w:rsidRPr="00FB4DF8" w:rsidRDefault="00412C0E" w:rsidP="00412C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4DF8">
              <w:rPr>
                <w:rFonts w:asciiTheme="majorHAnsi" w:hAnsiTheme="majorHAnsi"/>
                <w:sz w:val="20"/>
                <w:szCs w:val="20"/>
              </w:rPr>
              <w:t>Troy/Reece</w:t>
            </w:r>
          </w:p>
        </w:tc>
        <w:tc>
          <w:tcPr>
            <w:tcW w:w="833" w:type="dxa"/>
          </w:tcPr>
          <w:p w:rsidR="00412C0E" w:rsidRDefault="007A404B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</w:t>
            </w:r>
            <w:r w:rsidR="00412C0E">
              <w:rPr>
                <w:rFonts w:asciiTheme="majorHAnsi" w:hAnsiTheme="majorHAnsi"/>
                <w:sz w:val="22"/>
                <w:szCs w:val="22"/>
              </w:rPr>
              <w:t xml:space="preserve"> min</w:t>
            </w:r>
          </w:p>
        </w:tc>
        <w:tc>
          <w:tcPr>
            <w:tcW w:w="990" w:type="dxa"/>
          </w:tcPr>
          <w:p w:rsidR="00412C0E" w:rsidRDefault="002F24E0" w:rsidP="00412C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</w:t>
            </w:r>
          </w:p>
        </w:tc>
        <w:tc>
          <w:tcPr>
            <w:tcW w:w="5778" w:type="dxa"/>
          </w:tcPr>
          <w:p w:rsidR="00412C0E" w:rsidRPr="007A20AE" w:rsidRDefault="00854B38" w:rsidP="00B24AD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20AE">
              <w:rPr>
                <w:rFonts w:asciiTheme="majorHAnsi" w:hAnsiTheme="majorHAnsi"/>
                <w:b/>
                <w:sz w:val="20"/>
                <w:szCs w:val="20"/>
              </w:rPr>
              <w:t>Members of the Citizens Oversight Committee took a tour of the Instructional Building on the SLO Campus</w:t>
            </w:r>
            <w:r w:rsidR="00603913" w:rsidRPr="007A20A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602792" w:rsidRPr="00DB4410" w:rsidRDefault="00602792" w:rsidP="00DB441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</w:t>
      </w:r>
      <w:r w:rsidR="00A4533D">
        <w:rPr>
          <w:rFonts w:ascii="Arial" w:hAnsi="Arial" w:cs="Arial"/>
          <w:b/>
          <w:sz w:val="16"/>
          <w:szCs w:val="16"/>
        </w:rPr>
        <w:t xml:space="preserve">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137B6">
        <w:rPr>
          <w:rFonts w:ascii="Arial" w:hAnsi="Arial" w:cs="Arial"/>
          <w:b/>
          <w:sz w:val="16"/>
          <w:szCs w:val="16"/>
        </w:rPr>
        <w:t>*</w:t>
      </w:r>
      <w:proofErr w:type="gramStart"/>
      <w:r w:rsidRPr="004137B6">
        <w:rPr>
          <w:rFonts w:ascii="Arial" w:hAnsi="Arial" w:cs="Arial"/>
          <w:b/>
          <w:sz w:val="16"/>
          <w:szCs w:val="16"/>
        </w:rPr>
        <w:t>A  Action</w:t>
      </w:r>
      <w:proofErr w:type="gramEnd"/>
      <w:r w:rsidRPr="004137B6">
        <w:rPr>
          <w:rFonts w:ascii="Arial" w:hAnsi="Arial" w:cs="Arial"/>
          <w:b/>
          <w:sz w:val="16"/>
          <w:szCs w:val="16"/>
        </w:rPr>
        <w:t xml:space="preserve"> Item     D  Discussion     I  Information     H  Handout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sectPr w:rsidR="00602792" w:rsidRPr="00DB4410" w:rsidSect="00AC73D3">
      <w:footerReference w:type="default" r:id="rId8"/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384" w:rsidRDefault="00970384" w:rsidP="00C54B88">
      <w:r>
        <w:separator/>
      </w:r>
    </w:p>
  </w:endnote>
  <w:endnote w:type="continuationSeparator" w:id="0">
    <w:p w:rsidR="00970384" w:rsidRDefault="00970384" w:rsidP="00C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EE" w:rsidRPr="0088022E" w:rsidRDefault="004D44EE" w:rsidP="00602792">
    <w:pPr>
      <w:pStyle w:val="Footer"/>
      <w:rPr>
        <w:rFonts w:asciiTheme="majorHAnsi" w:hAnsiTheme="majorHAnsi"/>
        <w:b/>
        <w:sz w:val="20"/>
        <w:szCs w:val="20"/>
      </w:rPr>
    </w:pPr>
    <w:r w:rsidRPr="0088022E">
      <w:rPr>
        <w:rFonts w:asciiTheme="majorHAnsi" w:hAnsiTheme="majorHAnsi"/>
        <w:sz w:val="20"/>
        <w:szCs w:val="20"/>
      </w:rPr>
      <w:t>*Discussion on any agenda item may lead to 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384" w:rsidRDefault="00970384" w:rsidP="00C54B88">
      <w:r>
        <w:separator/>
      </w:r>
    </w:p>
  </w:footnote>
  <w:footnote w:type="continuationSeparator" w:id="0">
    <w:p w:rsidR="00970384" w:rsidRDefault="00970384" w:rsidP="00C5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6C0"/>
    <w:multiLevelType w:val="hybridMultilevel"/>
    <w:tmpl w:val="A5FC4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11B3"/>
    <w:multiLevelType w:val="hybridMultilevel"/>
    <w:tmpl w:val="56F6B5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C7567"/>
    <w:multiLevelType w:val="hybridMultilevel"/>
    <w:tmpl w:val="6B2CD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0340F"/>
    <w:multiLevelType w:val="hybridMultilevel"/>
    <w:tmpl w:val="D512A8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F514D"/>
    <w:multiLevelType w:val="hybridMultilevel"/>
    <w:tmpl w:val="916E9F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52B2A0D"/>
    <w:multiLevelType w:val="hybridMultilevel"/>
    <w:tmpl w:val="301C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264EE"/>
    <w:multiLevelType w:val="hybridMultilevel"/>
    <w:tmpl w:val="F122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477B"/>
    <w:multiLevelType w:val="hybridMultilevel"/>
    <w:tmpl w:val="8694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771FA"/>
    <w:multiLevelType w:val="hybridMultilevel"/>
    <w:tmpl w:val="AA889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C5045"/>
    <w:multiLevelType w:val="hybridMultilevel"/>
    <w:tmpl w:val="E20C8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5031C"/>
    <w:multiLevelType w:val="hybridMultilevel"/>
    <w:tmpl w:val="36328B1E"/>
    <w:lvl w:ilvl="0" w:tplc="F244B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D048B"/>
    <w:multiLevelType w:val="hybridMultilevel"/>
    <w:tmpl w:val="297E1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5370F"/>
    <w:multiLevelType w:val="hybridMultilevel"/>
    <w:tmpl w:val="D7DE19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72F15F2E"/>
    <w:multiLevelType w:val="hybridMultilevel"/>
    <w:tmpl w:val="99280248"/>
    <w:lvl w:ilvl="0" w:tplc="C9728D6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863DE"/>
    <w:multiLevelType w:val="hybridMultilevel"/>
    <w:tmpl w:val="25E6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7"/>
  </w:num>
  <w:num w:numId="7">
    <w:abstractNumId w:val="6"/>
  </w:num>
  <w:num w:numId="8">
    <w:abstractNumId w:val="12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  <w:num w:numId="13">
    <w:abstractNumId w:val="1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13"/>
    <w:rsid w:val="0002453A"/>
    <w:rsid w:val="000340E6"/>
    <w:rsid w:val="0004245F"/>
    <w:rsid w:val="00042E91"/>
    <w:rsid w:val="00043207"/>
    <w:rsid w:val="000544BF"/>
    <w:rsid w:val="000547B8"/>
    <w:rsid w:val="000646BD"/>
    <w:rsid w:val="00065D58"/>
    <w:rsid w:val="00076E44"/>
    <w:rsid w:val="000770F1"/>
    <w:rsid w:val="00077CB0"/>
    <w:rsid w:val="00081B37"/>
    <w:rsid w:val="00083F21"/>
    <w:rsid w:val="000928A4"/>
    <w:rsid w:val="00095005"/>
    <w:rsid w:val="000A60E9"/>
    <w:rsid w:val="000A7654"/>
    <w:rsid w:val="000B32FF"/>
    <w:rsid w:val="000C3992"/>
    <w:rsid w:val="000C3A4D"/>
    <w:rsid w:val="000C40CA"/>
    <w:rsid w:val="000E69E7"/>
    <w:rsid w:val="000F440C"/>
    <w:rsid w:val="000F4787"/>
    <w:rsid w:val="001033F8"/>
    <w:rsid w:val="00125685"/>
    <w:rsid w:val="0012687E"/>
    <w:rsid w:val="0013188C"/>
    <w:rsid w:val="00132766"/>
    <w:rsid w:val="00142520"/>
    <w:rsid w:val="00147D13"/>
    <w:rsid w:val="00156309"/>
    <w:rsid w:val="00164E43"/>
    <w:rsid w:val="00174413"/>
    <w:rsid w:val="00176BCF"/>
    <w:rsid w:val="00184C8D"/>
    <w:rsid w:val="001863FE"/>
    <w:rsid w:val="001923FD"/>
    <w:rsid w:val="001A48DC"/>
    <w:rsid w:val="001C1444"/>
    <w:rsid w:val="001C72B9"/>
    <w:rsid w:val="001E7B5A"/>
    <w:rsid w:val="001F10A0"/>
    <w:rsid w:val="001F3FC9"/>
    <w:rsid w:val="00210870"/>
    <w:rsid w:val="00220700"/>
    <w:rsid w:val="00220E0A"/>
    <w:rsid w:val="00240037"/>
    <w:rsid w:val="002413E2"/>
    <w:rsid w:val="00247E32"/>
    <w:rsid w:val="0026260F"/>
    <w:rsid w:val="002647D7"/>
    <w:rsid w:val="00265E0E"/>
    <w:rsid w:val="00277681"/>
    <w:rsid w:val="00292AA3"/>
    <w:rsid w:val="002940B2"/>
    <w:rsid w:val="002A3DD0"/>
    <w:rsid w:val="002A5A60"/>
    <w:rsid w:val="002B0FFD"/>
    <w:rsid w:val="002B5E6E"/>
    <w:rsid w:val="002C051C"/>
    <w:rsid w:val="002C55AE"/>
    <w:rsid w:val="002D7B74"/>
    <w:rsid w:val="002E2D38"/>
    <w:rsid w:val="002F24E0"/>
    <w:rsid w:val="002F2A78"/>
    <w:rsid w:val="00304E43"/>
    <w:rsid w:val="00325233"/>
    <w:rsid w:val="00326BC3"/>
    <w:rsid w:val="0033215B"/>
    <w:rsid w:val="003475FF"/>
    <w:rsid w:val="00361785"/>
    <w:rsid w:val="00364DB9"/>
    <w:rsid w:val="00380C65"/>
    <w:rsid w:val="00387522"/>
    <w:rsid w:val="00391C1A"/>
    <w:rsid w:val="003A119D"/>
    <w:rsid w:val="003B3D5E"/>
    <w:rsid w:val="003C152C"/>
    <w:rsid w:val="003C2222"/>
    <w:rsid w:val="003E1870"/>
    <w:rsid w:val="003E55C4"/>
    <w:rsid w:val="003E7610"/>
    <w:rsid w:val="003F6081"/>
    <w:rsid w:val="00405D7C"/>
    <w:rsid w:val="00412C0E"/>
    <w:rsid w:val="004142F3"/>
    <w:rsid w:val="00431ED5"/>
    <w:rsid w:val="00440793"/>
    <w:rsid w:val="00446113"/>
    <w:rsid w:val="00453079"/>
    <w:rsid w:val="00455BAE"/>
    <w:rsid w:val="004631B6"/>
    <w:rsid w:val="00465A3F"/>
    <w:rsid w:val="00477B05"/>
    <w:rsid w:val="00483283"/>
    <w:rsid w:val="0048373F"/>
    <w:rsid w:val="00485294"/>
    <w:rsid w:val="00487C5E"/>
    <w:rsid w:val="004951BD"/>
    <w:rsid w:val="004B60A0"/>
    <w:rsid w:val="004C6ABB"/>
    <w:rsid w:val="004D44EE"/>
    <w:rsid w:val="004F0ADB"/>
    <w:rsid w:val="004F7B15"/>
    <w:rsid w:val="00501A6C"/>
    <w:rsid w:val="005026E7"/>
    <w:rsid w:val="00502E2E"/>
    <w:rsid w:val="00511E2F"/>
    <w:rsid w:val="00516666"/>
    <w:rsid w:val="005207FC"/>
    <w:rsid w:val="0053419B"/>
    <w:rsid w:val="0054263C"/>
    <w:rsid w:val="00550890"/>
    <w:rsid w:val="00554A0E"/>
    <w:rsid w:val="00557BBB"/>
    <w:rsid w:val="005621F0"/>
    <w:rsid w:val="00566D6A"/>
    <w:rsid w:val="00585781"/>
    <w:rsid w:val="00586110"/>
    <w:rsid w:val="005A2D7A"/>
    <w:rsid w:val="005B0542"/>
    <w:rsid w:val="005E469C"/>
    <w:rsid w:val="005E7343"/>
    <w:rsid w:val="005F2637"/>
    <w:rsid w:val="005F5CA8"/>
    <w:rsid w:val="0060205E"/>
    <w:rsid w:val="00602792"/>
    <w:rsid w:val="00603913"/>
    <w:rsid w:val="00613263"/>
    <w:rsid w:val="0061470E"/>
    <w:rsid w:val="0062035F"/>
    <w:rsid w:val="006436DE"/>
    <w:rsid w:val="00660F2B"/>
    <w:rsid w:val="00672999"/>
    <w:rsid w:val="00693879"/>
    <w:rsid w:val="006962F3"/>
    <w:rsid w:val="006A06F9"/>
    <w:rsid w:val="006B028F"/>
    <w:rsid w:val="006C0537"/>
    <w:rsid w:val="006C28F0"/>
    <w:rsid w:val="006D3AC9"/>
    <w:rsid w:val="006D6AAA"/>
    <w:rsid w:val="00716125"/>
    <w:rsid w:val="00731248"/>
    <w:rsid w:val="0073355D"/>
    <w:rsid w:val="00735AA0"/>
    <w:rsid w:val="007455FE"/>
    <w:rsid w:val="00746401"/>
    <w:rsid w:val="0075113D"/>
    <w:rsid w:val="00753272"/>
    <w:rsid w:val="0075569E"/>
    <w:rsid w:val="00772D0E"/>
    <w:rsid w:val="0078489A"/>
    <w:rsid w:val="007969A1"/>
    <w:rsid w:val="00796EFA"/>
    <w:rsid w:val="007A20AE"/>
    <w:rsid w:val="007A2D46"/>
    <w:rsid w:val="007A404B"/>
    <w:rsid w:val="007B32ED"/>
    <w:rsid w:val="007C7101"/>
    <w:rsid w:val="007D2DCE"/>
    <w:rsid w:val="007D493E"/>
    <w:rsid w:val="007F623A"/>
    <w:rsid w:val="00821289"/>
    <w:rsid w:val="0082637E"/>
    <w:rsid w:val="00836893"/>
    <w:rsid w:val="00837342"/>
    <w:rsid w:val="008411EC"/>
    <w:rsid w:val="00841225"/>
    <w:rsid w:val="008473A9"/>
    <w:rsid w:val="00854B38"/>
    <w:rsid w:val="008674BE"/>
    <w:rsid w:val="0088022E"/>
    <w:rsid w:val="0088318C"/>
    <w:rsid w:val="00892799"/>
    <w:rsid w:val="0089584E"/>
    <w:rsid w:val="00895F0A"/>
    <w:rsid w:val="00897E4E"/>
    <w:rsid w:val="008A2887"/>
    <w:rsid w:val="008B4460"/>
    <w:rsid w:val="008C79AB"/>
    <w:rsid w:val="008D2900"/>
    <w:rsid w:val="008D4812"/>
    <w:rsid w:val="008E7597"/>
    <w:rsid w:val="008E7C34"/>
    <w:rsid w:val="008F1394"/>
    <w:rsid w:val="00920891"/>
    <w:rsid w:val="009229A5"/>
    <w:rsid w:val="00924BB2"/>
    <w:rsid w:val="00967792"/>
    <w:rsid w:val="00970384"/>
    <w:rsid w:val="0098125D"/>
    <w:rsid w:val="00983FB0"/>
    <w:rsid w:val="009931CA"/>
    <w:rsid w:val="009A41B8"/>
    <w:rsid w:val="009B2D6F"/>
    <w:rsid w:val="009B318A"/>
    <w:rsid w:val="009E2968"/>
    <w:rsid w:val="009E58DD"/>
    <w:rsid w:val="009F3749"/>
    <w:rsid w:val="00A05C2D"/>
    <w:rsid w:val="00A12062"/>
    <w:rsid w:val="00A2638B"/>
    <w:rsid w:val="00A26415"/>
    <w:rsid w:val="00A276FA"/>
    <w:rsid w:val="00A308AF"/>
    <w:rsid w:val="00A4533D"/>
    <w:rsid w:val="00A53C2B"/>
    <w:rsid w:val="00A613C4"/>
    <w:rsid w:val="00A70C80"/>
    <w:rsid w:val="00A83D36"/>
    <w:rsid w:val="00A85352"/>
    <w:rsid w:val="00A94D04"/>
    <w:rsid w:val="00A9557B"/>
    <w:rsid w:val="00A96803"/>
    <w:rsid w:val="00A97191"/>
    <w:rsid w:val="00AA166C"/>
    <w:rsid w:val="00AA5265"/>
    <w:rsid w:val="00AB2730"/>
    <w:rsid w:val="00AC3199"/>
    <w:rsid w:val="00AC7289"/>
    <w:rsid w:val="00AC73D3"/>
    <w:rsid w:val="00AE18A2"/>
    <w:rsid w:val="00AE66E9"/>
    <w:rsid w:val="00B05896"/>
    <w:rsid w:val="00B1420B"/>
    <w:rsid w:val="00B24ADA"/>
    <w:rsid w:val="00B31277"/>
    <w:rsid w:val="00B35D5B"/>
    <w:rsid w:val="00B45446"/>
    <w:rsid w:val="00B5489E"/>
    <w:rsid w:val="00B62ED0"/>
    <w:rsid w:val="00B87167"/>
    <w:rsid w:val="00B90B1E"/>
    <w:rsid w:val="00B93776"/>
    <w:rsid w:val="00B93A2C"/>
    <w:rsid w:val="00BB4B51"/>
    <w:rsid w:val="00BD26A8"/>
    <w:rsid w:val="00BD6694"/>
    <w:rsid w:val="00BE6736"/>
    <w:rsid w:val="00C01D32"/>
    <w:rsid w:val="00C07262"/>
    <w:rsid w:val="00C20E12"/>
    <w:rsid w:val="00C304A9"/>
    <w:rsid w:val="00C45395"/>
    <w:rsid w:val="00C512D9"/>
    <w:rsid w:val="00C52412"/>
    <w:rsid w:val="00C54B88"/>
    <w:rsid w:val="00C62022"/>
    <w:rsid w:val="00C9145A"/>
    <w:rsid w:val="00C94A6B"/>
    <w:rsid w:val="00CA03EE"/>
    <w:rsid w:val="00CA4C3B"/>
    <w:rsid w:val="00CB77B4"/>
    <w:rsid w:val="00CD031B"/>
    <w:rsid w:val="00CD3FC2"/>
    <w:rsid w:val="00CD424F"/>
    <w:rsid w:val="00CD65C3"/>
    <w:rsid w:val="00CE39F8"/>
    <w:rsid w:val="00CE4743"/>
    <w:rsid w:val="00CF34BC"/>
    <w:rsid w:val="00D0592B"/>
    <w:rsid w:val="00D16AE2"/>
    <w:rsid w:val="00D17AF7"/>
    <w:rsid w:val="00D26179"/>
    <w:rsid w:val="00D464C8"/>
    <w:rsid w:val="00D56C6B"/>
    <w:rsid w:val="00D652F4"/>
    <w:rsid w:val="00D75FEE"/>
    <w:rsid w:val="00D76078"/>
    <w:rsid w:val="00D83905"/>
    <w:rsid w:val="00D83AF7"/>
    <w:rsid w:val="00D863AA"/>
    <w:rsid w:val="00DA64C2"/>
    <w:rsid w:val="00DB2003"/>
    <w:rsid w:val="00DB4410"/>
    <w:rsid w:val="00DB4426"/>
    <w:rsid w:val="00DB5349"/>
    <w:rsid w:val="00DD4FA4"/>
    <w:rsid w:val="00DD6058"/>
    <w:rsid w:val="00DE06D7"/>
    <w:rsid w:val="00E00B35"/>
    <w:rsid w:val="00E01220"/>
    <w:rsid w:val="00E13EA3"/>
    <w:rsid w:val="00E2055D"/>
    <w:rsid w:val="00E4004F"/>
    <w:rsid w:val="00E46B37"/>
    <w:rsid w:val="00E5312C"/>
    <w:rsid w:val="00E56CFD"/>
    <w:rsid w:val="00E70FA8"/>
    <w:rsid w:val="00E71A97"/>
    <w:rsid w:val="00E80018"/>
    <w:rsid w:val="00E805A4"/>
    <w:rsid w:val="00E8504C"/>
    <w:rsid w:val="00E85379"/>
    <w:rsid w:val="00E94121"/>
    <w:rsid w:val="00EA1247"/>
    <w:rsid w:val="00EB073C"/>
    <w:rsid w:val="00EC1901"/>
    <w:rsid w:val="00ED1EF3"/>
    <w:rsid w:val="00ED4579"/>
    <w:rsid w:val="00EE07F5"/>
    <w:rsid w:val="00EF09ED"/>
    <w:rsid w:val="00EF405A"/>
    <w:rsid w:val="00F02F95"/>
    <w:rsid w:val="00F23E47"/>
    <w:rsid w:val="00F46A1C"/>
    <w:rsid w:val="00F47AF4"/>
    <w:rsid w:val="00F51D45"/>
    <w:rsid w:val="00F557F5"/>
    <w:rsid w:val="00F659E5"/>
    <w:rsid w:val="00F65EE8"/>
    <w:rsid w:val="00F67BF5"/>
    <w:rsid w:val="00F717B9"/>
    <w:rsid w:val="00F935EF"/>
    <w:rsid w:val="00FA2E29"/>
    <w:rsid w:val="00FA4975"/>
    <w:rsid w:val="00FA4DB0"/>
    <w:rsid w:val="00FB41F8"/>
    <w:rsid w:val="00FB4DF8"/>
    <w:rsid w:val="00FC541B"/>
    <w:rsid w:val="00FE20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1E6E6F"/>
  <w15:docId w15:val="{BC3695FE-8272-4425-837B-D360D755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7D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7D2D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6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8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4B88"/>
  </w:style>
  <w:style w:type="paragraph" w:styleId="Footer">
    <w:name w:val="footer"/>
    <w:basedOn w:val="Normal"/>
    <w:link w:val="FooterChar"/>
    <w:rsid w:val="00C54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88"/>
  </w:style>
  <w:style w:type="character" w:styleId="Hyperlink">
    <w:name w:val="Hyperlink"/>
    <w:basedOn w:val="DefaultParagraphFont"/>
    <w:uiPriority w:val="99"/>
    <w:unhideWhenUsed/>
    <w:rsid w:val="007969A1"/>
    <w:rPr>
      <w:rFonts w:ascii="Arial" w:hAnsi="Arial" w:cs="Arial" w:hint="default"/>
      <w:color w:val="336633"/>
      <w:sz w:val="17"/>
      <w:szCs w:val="17"/>
      <w:u w:val="single"/>
    </w:rPr>
  </w:style>
  <w:style w:type="character" w:customStyle="1" w:styleId="rbox1">
    <w:name w:val="rbox1"/>
    <w:basedOn w:val="DefaultParagraphFont"/>
    <w:rsid w:val="00A2638B"/>
    <w:rPr>
      <w:bdr w:val="none" w:sz="0" w:space="0" w:color="auto" w:frame="1"/>
    </w:rPr>
  </w:style>
  <w:style w:type="character" w:styleId="FollowedHyperlink">
    <w:name w:val="FollowedHyperlink"/>
    <w:basedOn w:val="DefaultParagraphFont"/>
    <w:rsid w:val="006B028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21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5942">
          <w:marLeft w:val="270"/>
          <w:marRight w:val="27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2870">
              <w:marLeft w:val="0"/>
              <w:marRight w:val="0"/>
              <w:marTop w:val="318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69819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9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Cuesta College</dc:creator>
  <cp:lastModifiedBy>Merlynn Foppiano</cp:lastModifiedBy>
  <cp:revision>5</cp:revision>
  <cp:lastPrinted>2017-10-20T18:37:00Z</cp:lastPrinted>
  <dcterms:created xsi:type="dcterms:W3CDTF">2017-11-02T17:25:00Z</dcterms:created>
  <dcterms:modified xsi:type="dcterms:W3CDTF">2018-05-09T21:53:00Z</dcterms:modified>
</cp:coreProperties>
</file>