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2E46D" w14:textId="77777777" w:rsidR="00147D13" w:rsidRDefault="00147D13" w:rsidP="003475FF">
      <w:pPr>
        <w:jc w:val="center"/>
        <w:rPr>
          <w:rFonts w:asciiTheme="majorHAnsi" w:hAnsiTheme="majorHAnsi"/>
          <w:sz w:val="22"/>
          <w:szCs w:val="22"/>
        </w:rPr>
      </w:pPr>
      <w:r w:rsidRPr="00AC73D3">
        <w:rPr>
          <w:rFonts w:asciiTheme="majorHAnsi" w:hAnsiTheme="majorHAnsi"/>
          <w:noProof/>
          <w:sz w:val="22"/>
          <w:szCs w:val="22"/>
        </w:rPr>
        <w:drawing>
          <wp:inline distT="0" distB="0" distL="0" distR="0" wp14:anchorId="72293C75" wp14:editId="33014785">
            <wp:extent cx="1549197" cy="52132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783" cy="521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91E1CC" w14:textId="77777777" w:rsidR="008E7C34" w:rsidRDefault="008E7C34" w:rsidP="003475FF">
      <w:pPr>
        <w:jc w:val="center"/>
        <w:rPr>
          <w:rFonts w:asciiTheme="majorHAnsi" w:hAnsiTheme="majorHAnsi"/>
          <w:sz w:val="22"/>
          <w:szCs w:val="22"/>
        </w:rPr>
      </w:pPr>
    </w:p>
    <w:p w14:paraId="4590226E" w14:textId="77777777" w:rsidR="00A70C80" w:rsidRDefault="00A70C80" w:rsidP="00A971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Citizens</w:t>
      </w:r>
      <w:r w:rsidR="00E80018">
        <w:rPr>
          <w:b/>
          <w:sz w:val="28"/>
          <w:szCs w:val="28"/>
        </w:rPr>
        <w:t>’</w:t>
      </w:r>
      <w:r>
        <w:rPr>
          <w:b/>
          <w:sz w:val="28"/>
          <w:szCs w:val="28"/>
        </w:rPr>
        <w:t xml:space="preserve"> </w:t>
      </w:r>
      <w:r w:rsidR="00A94D04">
        <w:rPr>
          <w:b/>
          <w:sz w:val="28"/>
          <w:szCs w:val="28"/>
        </w:rPr>
        <w:t xml:space="preserve">Bond </w:t>
      </w:r>
      <w:r>
        <w:rPr>
          <w:b/>
          <w:sz w:val="28"/>
          <w:szCs w:val="28"/>
        </w:rPr>
        <w:t>Oversight Committee</w:t>
      </w:r>
    </w:p>
    <w:p w14:paraId="4585AF33" w14:textId="77777777" w:rsidR="008E7C34" w:rsidRDefault="008E7C34" w:rsidP="00A97191">
      <w:pPr>
        <w:jc w:val="center"/>
        <w:rPr>
          <w:b/>
          <w:sz w:val="28"/>
          <w:szCs w:val="28"/>
        </w:rPr>
      </w:pPr>
    </w:p>
    <w:p w14:paraId="349F1E2E" w14:textId="3D6C63E1" w:rsidR="00A97191" w:rsidRPr="00761BAE" w:rsidRDefault="000C0C98" w:rsidP="00A971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</w:t>
      </w:r>
    </w:p>
    <w:p w14:paraId="57559EB4" w14:textId="32FF09E6" w:rsidR="00A97191" w:rsidRDefault="005E2B57" w:rsidP="00A971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November 2</w:t>
      </w:r>
      <w:r w:rsidR="00797C3E">
        <w:rPr>
          <w:b/>
          <w:sz w:val="28"/>
          <w:szCs w:val="28"/>
        </w:rPr>
        <w:t>, 2018</w:t>
      </w:r>
    </w:p>
    <w:p w14:paraId="0AB650FC" w14:textId="77777777" w:rsidR="00731248" w:rsidRDefault="00A83D36" w:rsidP="00731248">
      <w:pPr>
        <w:jc w:val="center"/>
        <w:outlineLvl w:val="0"/>
        <w:rPr>
          <w:b/>
          <w:sz w:val="28"/>
          <w:szCs w:val="28"/>
        </w:rPr>
      </w:pPr>
      <w:r w:rsidRPr="00A83D36">
        <w:rPr>
          <w:b/>
          <w:sz w:val="28"/>
          <w:szCs w:val="28"/>
        </w:rPr>
        <w:t>3</w:t>
      </w:r>
      <w:r w:rsidR="00731248" w:rsidRPr="00A83D36">
        <w:rPr>
          <w:b/>
          <w:sz w:val="28"/>
          <w:szCs w:val="28"/>
        </w:rPr>
        <w:t>:00 pm</w:t>
      </w:r>
      <w:r w:rsidRPr="00A83D36">
        <w:rPr>
          <w:b/>
          <w:sz w:val="28"/>
          <w:szCs w:val="28"/>
        </w:rPr>
        <w:t xml:space="preserve"> – 4:3</w:t>
      </w:r>
      <w:r w:rsidR="00731248" w:rsidRPr="00A83D36">
        <w:rPr>
          <w:b/>
          <w:sz w:val="28"/>
          <w:szCs w:val="28"/>
        </w:rPr>
        <w:t>0 p.m</w:t>
      </w:r>
      <w:r w:rsidR="00731248">
        <w:rPr>
          <w:b/>
          <w:sz w:val="28"/>
          <w:szCs w:val="28"/>
        </w:rPr>
        <w:t>.</w:t>
      </w:r>
    </w:p>
    <w:p w14:paraId="0F4D951D" w14:textId="36E6E6E9" w:rsidR="00731248" w:rsidRDefault="00731248" w:rsidP="0073124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Building </w:t>
      </w:r>
      <w:r w:rsidR="005E2B57">
        <w:rPr>
          <w:b/>
          <w:sz w:val="28"/>
          <w:szCs w:val="28"/>
        </w:rPr>
        <w:t>N1000</w:t>
      </w:r>
      <w:r>
        <w:rPr>
          <w:b/>
          <w:sz w:val="28"/>
          <w:szCs w:val="28"/>
        </w:rPr>
        <w:t xml:space="preserve">, Room </w:t>
      </w:r>
      <w:r w:rsidR="005E2B57">
        <w:rPr>
          <w:b/>
          <w:sz w:val="28"/>
          <w:szCs w:val="28"/>
        </w:rPr>
        <w:t>N1128</w:t>
      </w:r>
    </w:p>
    <w:p w14:paraId="2E5E2A8A" w14:textId="77777777" w:rsidR="00924BB2" w:rsidRDefault="00924BB2">
      <w:pPr>
        <w:rPr>
          <w:rFonts w:asciiTheme="majorHAnsi" w:hAnsiTheme="majorHAnsi"/>
          <w:b/>
          <w:sz w:val="22"/>
          <w:szCs w:val="22"/>
        </w:rPr>
      </w:pPr>
    </w:p>
    <w:tbl>
      <w:tblPr>
        <w:tblW w:w="1391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3150"/>
        <w:gridCol w:w="270"/>
        <w:gridCol w:w="2520"/>
        <w:gridCol w:w="360"/>
        <w:gridCol w:w="3150"/>
        <w:gridCol w:w="360"/>
        <w:gridCol w:w="3259"/>
        <w:gridCol w:w="490"/>
      </w:tblGrid>
      <w:tr w:rsidR="00E8504C" w:rsidRPr="009A5F3B" w14:paraId="6E777FF8" w14:textId="77777777" w:rsidTr="001E4107">
        <w:trPr>
          <w:cantSplit/>
          <w:trHeight w:val="143"/>
        </w:trPr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C207" w14:textId="77777777" w:rsidR="00E8504C" w:rsidRDefault="00E8504C" w:rsidP="00A971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COMMITTEE MEMBERS:</w:t>
            </w:r>
          </w:p>
        </w:tc>
        <w:tc>
          <w:tcPr>
            <w:tcW w:w="7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74D7" w14:textId="77777777" w:rsidR="00E8504C" w:rsidRDefault="00E8504C" w:rsidP="00A971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DISTRICT STAFF: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D11DF8" w14:textId="77777777" w:rsidR="00E8504C" w:rsidRPr="009A5F3B" w:rsidRDefault="00E8504C" w:rsidP="00A97191">
            <w:pPr>
              <w:rPr>
                <w:b/>
                <w:sz w:val="20"/>
                <w:szCs w:val="20"/>
              </w:rPr>
            </w:pPr>
          </w:p>
        </w:tc>
      </w:tr>
      <w:tr w:rsidR="007F623A" w:rsidRPr="009A5F3B" w14:paraId="19AD02EF" w14:textId="77777777" w:rsidTr="00E8504C">
        <w:trPr>
          <w:cantSplit/>
          <w:trHeight w:val="14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34DE" w14:textId="02407194" w:rsidR="007F623A" w:rsidRPr="009A5F3B" w:rsidRDefault="000C0C98" w:rsidP="00A971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1885" w14:textId="77777777" w:rsidR="007F623A" w:rsidRPr="009A5F3B" w:rsidRDefault="007F623A" w:rsidP="00A971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Scott Lathrop (Chair)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6124" w14:textId="77777777" w:rsidR="007F623A" w:rsidRPr="009A5F3B" w:rsidRDefault="007F623A" w:rsidP="00A97191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45BE" w14:textId="77777777" w:rsidR="007F623A" w:rsidRPr="00142520" w:rsidRDefault="00797C3E" w:rsidP="00BF57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Robert </w:t>
            </w:r>
            <w:proofErr w:type="spellStart"/>
            <w:r>
              <w:rPr>
                <w:b/>
                <w:sz w:val="20"/>
                <w:szCs w:val="20"/>
              </w:rPr>
              <w:t>Mancell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758B" w14:textId="77777777" w:rsidR="007F623A" w:rsidRPr="009A5F3B" w:rsidRDefault="007F623A" w:rsidP="00A97191">
            <w:pPr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4870" w14:textId="1B8501E7" w:rsidR="007F623A" w:rsidRPr="009A5F3B" w:rsidRDefault="005E2B57" w:rsidP="002108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Jill Stearns</w:t>
            </w:r>
            <w:r w:rsidR="00413E31">
              <w:rPr>
                <w:b/>
                <w:sz w:val="20"/>
                <w:szCs w:val="20"/>
              </w:rPr>
              <w:t>, President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BCBE" w14:textId="77777777" w:rsidR="007F623A" w:rsidRDefault="007F623A" w:rsidP="00BF573C">
            <w:pPr>
              <w:rPr>
                <w:b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8684" w14:textId="052C9B2D" w:rsidR="007F623A" w:rsidRDefault="00413E31" w:rsidP="00BF57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Patrice Eley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D91FFC" w14:textId="77777777" w:rsidR="007F623A" w:rsidRPr="009A5F3B" w:rsidRDefault="007F623A" w:rsidP="00A97191">
            <w:pPr>
              <w:rPr>
                <w:b/>
                <w:sz w:val="20"/>
                <w:szCs w:val="20"/>
              </w:rPr>
            </w:pPr>
          </w:p>
        </w:tc>
      </w:tr>
      <w:tr w:rsidR="00797C3E" w:rsidRPr="009A5F3B" w14:paraId="393A96B3" w14:textId="77777777" w:rsidTr="00E8504C">
        <w:trPr>
          <w:cantSplit/>
          <w:trHeight w:val="14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4319" w14:textId="77777777" w:rsidR="00797C3E" w:rsidRPr="009A5F3B" w:rsidRDefault="00797C3E" w:rsidP="00797C3E">
            <w:pPr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D95F" w14:textId="77777777" w:rsidR="00797C3E" w:rsidRPr="009A5F3B" w:rsidRDefault="00797C3E" w:rsidP="00797C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Gayla Chapman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C956" w14:textId="77777777" w:rsidR="00797C3E" w:rsidRPr="009A5F3B" w:rsidRDefault="00797C3E" w:rsidP="00797C3E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A816" w14:textId="77777777" w:rsidR="00797C3E" w:rsidRPr="00142520" w:rsidRDefault="00797C3E" w:rsidP="00797C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Susan Middleton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FE2E" w14:textId="16F274C1" w:rsidR="00797C3E" w:rsidRPr="009A5F3B" w:rsidRDefault="000C0C98" w:rsidP="00797C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E84D" w14:textId="77777777" w:rsidR="00797C3E" w:rsidRPr="009A5F3B" w:rsidRDefault="00797C3E" w:rsidP="00797C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 Troy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B7A7" w14:textId="2E1007E8" w:rsidR="00797C3E" w:rsidRDefault="000C0C98" w:rsidP="00797C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47CE" w14:textId="47A8FFE7" w:rsidR="00797C3E" w:rsidRDefault="005E2B57" w:rsidP="00797C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Recorder:  Nikki Rocha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D75DE9" w14:textId="77777777" w:rsidR="00797C3E" w:rsidRPr="009A5F3B" w:rsidRDefault="00797C3E" w:rsidP="00797C3E">
            <w:pPr>
              <w:rPr>
                <w:b/>
                <w:sz w:val="20"/>
                <w:szCs w:val="20"/>
              </w:rPr>
            </w:pPr>
          </w:p>
        </w:tc>
      </w:tr>
      <w:tr w:rsidR="00797C3E" w:rsidRPr="009A5F3B" w14:paraId="60548A9B" w14:textId="77777777" w:rsidTr="00E8504C">
        <w:trPr>
          <w:cantSplit/>
          <w:trHeight w:val="14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2FD0" w14:textId="77777777" w:rsidR="00797C3E" w:rsidRPr="009A5F3B" w:rsidRDefault="00797C3E" w:rsidP="00797C3E">
            <w:pPr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0FC8" w14:textId="77777777" w:rsidR="00797C3E" w:rsidRPr="009A5F3B" w:rsidRDefault="00797C3E" w:rsidP="00797C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Susan Dressler (Vice Chair)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67F7" w14:textId="1A144012" w:rsidR="00797C3E" w:rsidRPr="009A5F3B" w:rsidRDefault="000C0C98" w:rsidP="00797C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2F65" w14:textId="77777777" w:rsidR="00797C3E" w:rsidRPr="00142520" w:rsidRDefault="00797C3E" w:rsidP="00797C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Linda Mielke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062A" w14:textId="6E75DE90" w:rsidR="00797C3E" w:rsidRPr="009A5F3B" w:rsidRDefault="000C0C98" w:rsidP="00797C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563F" w14:textId="77777777" w:rsidR="00797C3E" w:rsidRPr="009A5F3B" w:rsidRDefault="00797C3E" w:rsidP="00797C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Chris Green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7252" w14:textId="76DB7700" w:rsidR="00797C3E" w:rsidRDefault="00797C3E" w:rsidP="00797C3E">
            <w:pPr>
              <w:rPr>
                <w:b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9FE9" w14:textId="490F9BDE" w:rsidR="00797C3E" w:rsidRPr="009A5F3B" w:rsidRDefault="00797C3E" w:rsidP="00797C3E">
            <w:pPr>
              <w:rPr>
                <w:b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0C8B9B" w14:textId="77777777" w:rsidR="00797C3E" w:rsidRPr="009A5F3B" w:rsidRDefault="00797C3E" w:rsidP="00797C3E">
            <w:pPr>
              <w:rPr>
                <w:b/>
                <w:sz w:val="20"/>
                <w:szCs w:val="20"/>
              </w:rPr>
            </w:pPr>
          </w:p>
        </w:tc>
      </w:tr>
      <w:tr w:rsidR="00797C3E" w:rsidRPr="009A5F3B" w14:paraId="3AB314B9" w14:textId="77777777" w:rsidTr="00E8504C">
        <w:trPr>
          <w:cantSplit/>
          <w:trHeight w:val="14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3939" w14:textId="599B6F51" w:rsidR="00797C3E" w:rsidRPr="009A5F3B" w:rsidRDefault="000C0C98" w:rsidP="00797C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FC2C" w14:textId="77777777" w:rsidR="00797C3E" w:rsidRDefault="00797C3E" w:rsidP="00797C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George Galvan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143A" w14:textId="15EAADBC" w:rsidR="00797C3E" w:rsidRPr="009A5F3B" w:rsidRDefault="000C0C98" w:rsidP="00797C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D2A7" w14:textId="77777777" w:rsidR="00797C3E" w:rsidRPr="009A5F3B" w:rsidRDefault="00797C3E" w:rsidP="00797C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Patrick O’Hara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4BDA" w14:textId="3AE81AF8" w:rsidR="00797C3E" w:rsidRPr="009A5F3B" w:rsidRDefault="000C0C98" w:rsidP="00797C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B559" w14:textId="77777777" w:rsidR="00797C3E" w:rsidRDefault="00797C3E" w:rsidP="00797C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Terry Reece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F84B" w14:textId="77777777" w:rsidR="00797C3E" w:rsidRDefault="00797C3E" w:rsidP="00797C3E">
            <w:pPr>
              <w:rPr>
                <w:b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0A5F" w14:textId="77777777" w:rsidR="00797C3E" w:rsidRDefault="00797C3E" w:rsidP="00797C3E">
            <w:pPr>
              <w:rPr>
                <w:b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9B009" w14:textId="77777777" w:rsidR="00797C3E" w:rsidRPr="009A5F3B" w:rsidRDefault="00797C3E" w:rsidP="00797C3E">
            <w:pPr>
              <w:rPr>
                <w:b/>
                <w:sz w:val="20"/>
                <w:szCs w:val="20"/>
              </w:rPr>
            </w:pPr>
          </w:p>
        </w:tc>
      </w:tr>
      <w:tr w:rsidR="00797C3E" w:rsidRPr="009A5F3B" w14:paraId="78B65D73" w14:textId="77777777" w:rsidTr="00E8504C">
        <w:trPr>
          <w:cantSplit/>
          <w:trHeight w:val="14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D3AE" w14:textId="77777777" w:rsidR="00797C3E" w:rsidRPr="009A5F3B" w:rsidRDefault="00797C3E" w:rsidP="00797C3E">
            <w:pPr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5EDA" w14:textId="77777777" w:rsidR="00797C3E" w:rsidRPr="00142520" w:rsidRDefault="00797C3E" w:rsidP="00797C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Jordan Jantzen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A438" w14:textId="77777777" w:rsidR="00797C3E" w:rsidRPr="009A5F3B" w:rsidRDefault="00797C3E" w:rsidP="00797C3E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CCB7" w14:textId="77777777" w:rsidR="00797C3E" w:rsidRDefault="00797C3E" w:rsidP="00797C3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Anneka</w:t>
            </w:r>
            <w:proofErr w:type="spellEnd"/>
            <w:r>
              <w:rPr>
                <w:b/>
                <w:sz w:val="20"/>
                <w:szCs w:val="20"/>
              </w:rPr>
              <w:t xml:space="preserve"> Scranton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502F" w14:textId="77777777" w:rsidR="00797C3E" w:rsidRPr="009A5F3B" w:rsidRDefault="00797C3E" w:rsidP="00797C3E">
            <w:pPr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14C1" w14:textId="77777777" w:rsidR="00797C3E" w:rsidRPr="000C0C98" w:rsidRDefault="00797C3E" w:rsidP="00797C3E">
            <w:pPr>
              <w:rPr>
                <w:b/>
                <w:sz w:val="20"/>
                <w:szCs w:val="20"/>
              </w:rPr>
            </w:pPr>
            <w:r w:rsidRPr="000C0C98">
              <w:rPr>
                <w:b/>
                <w:sz w:val="20"/>
                <w:szCs w:val="20"/>
              </w:rPr>
              <w:t>Merlynn Foppiano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2FB8" w14:textId="77777777" w:rsidR="00797C3E" w:rsidRDefault="00797C3E" w:rsidP="00797C3E">
            <w:pPr>
              <w:rPr>
                <w:b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6635" w14:textId="77777777" w:rsidR="00797C3E" w:rsidRDefault="00797C3E" w:rsidP="00797C3E">
            <w:pPr>
              <w:rPr>
                <w:b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6EDA38" w14:textId="77777777" w:rsidR="00797C3E" w:rsidRPr="009A5F3B" w:rsidRDefault="00797C3E" w:rsidP="00797C3E">
            <w:pPr>
              <w:rPr>
                <w:b/>
                <w:sz w:val="20"/>
                <w:szCs w:val="20"/>
              </w:rPr>
            </w:pPr>
          </w:p>
        </w:tc>
      </w:tr>
      <w:tr w:rsidR="00797C3E" w:rsidRPr="007A19E5" w14:paraId="78B6FF93" w14:textId="77777777" w:rsidTr="00E8504C">
        <w:trPr>
          <w:cantSplit/>
          <w:trHeight w:val="14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ED15" w14:textId="3B0A6D6A" w:rsidR="00797C3E" w:rsidRPr="009A5F3B" w:rsidRDefault="000C0C98" w:rsidP="00797C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EC1C" w14:textId="77777777" w:rsidR="00797C3E" w:rsidRPr="00142520" w:rsidRDefault="00797C3E" w:rsidP="00797C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Duane </w:t>
            </w:r>
            <w:proofErr w:type="spellStart"/>
            <w:r>
              <w:rPr>
                <w:b/>
                <w:sz w:val="20"/>
                <w:szCs w:val="20"/>
              </w:rPr>
              <w:t>Leib</w:t>
            </w:r>
            <w:proofErr w:type="spellEnd"/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D1D4" w14:textId="6717CBCD" w:rsidR="00797C3E" w:rsidRPr="009A5F3B" w:rsidRDefault="000C0C98" w:rsidP="00797C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7BD2" w14:textId="77777777" w:rsidR="00797C3E" w:rsidRDefault="00797C3E" w:rsidP="00797C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Kathy Smith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FDE9" w14:textId="755F8238" w:rsidR="00797C3E" w:rsidRPr="009A5F3B" w:rsidRDefault="000C0C98" w:rsidP="00797C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8639" w14:textId="77777777" w:rsidR="00797C3E" w:rsidRPr="009F3749" w:rsidRDefault="00797C3E" w:rsidP="00797C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Brian McAlister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037C" w14:textId="77777777" w:rsidR="00797C3E" w:rsidRDefault="00797C3E" w:rsidP="00797C3E">
            <w:pPr>
              <w:rPr>
                <w:b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9087" w14:textId="77777777" w:rsidR="00797C3E" w:rsidRPr="009A5F3B" w:rsidRDefault="00797C3E" w:rsidP="00797C3E">
            <w:pPr>
              <w:rPr>
                <w:b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6E54C5" w14:textId="77777777" w:rsidR="00797C3E" w:rsidRPr="007A19E5" w:rsidRDefault="00797C3E" w:rsidP="00797C3E">
            <w:pPr>
              <w:rPr>
                <w:b/>
                <w:sz w:val="20"/>
                <w:szCs w:val="20"/>
              </w:rPr>
            </w:pPr>
          </w:p>
        </w:tc>
      </w:tr>
    </w:tbl>
    <w:tbl>
      <w:tblPr>
        <w:tblStyle w:val="TableGrid"/>
        <w:tblW w:w="14616" w:type="dxa"/>
        <w:tblLayout w:type="fixed"/>
        <w:tblLook w:val="00A0" w:firstRow="1" w:lastRow="0" w:firstColumn="1" w:lastColumn="0" w:noHBand="0" w:noVBand="0"/>
      </w:tblPr>
      <w:tblGrid>
        <w:gridCol w:w="5508"/>
        <w:gridCol w:w="1440"/>
        <w:gridCol w:w="900"/>
        <w:gridCol w:w="990"/>
        <w:gridCol w:w="5778"/>
      </w:tblGrid>
      <w:tr w:rsidR="006C0537" w:rsidRPr="00AC73D3" w14:paraId="6737A637" w14:textId="77777777" w:rsidTr="00C54E0C">
        <w:tc>
          <w:tcPr>
            <w:tcW w:w="5508" w:type="dxa"/>
          </w:tcPr>
          <w:p w14:paraId="1F77ADD4" w14:textId="77777777" w:rsidR="006C0537" w:rsidRPr="00AC73D3" w:rsidRDefault="006C0537" w:rsidP="006C053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AC73D3">
              <w:rPr>
                <w:rFonts w:asciiTheme="majorHAnsi" w:hAnsiTheme="majorHAnsi"/>
                <w:b/>
                <w:sz w:val="22"/>
                <w:szCs w:val="22"/>
              </w:rPr>
              <w:t>AGENDA ITEMS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- DOCUMENTS</w:t>
            </w:r>
          </w:p>
        </w:tc>
        <w:tc>
          <w:tcPr>
            <w:tcW w:w="1440" w:type="dxa"/>
          </w:tcPr>
          <w:p w14:paraId="4D546892" w14:textId="77777777" w:rsidR="006C0537" w:rsidRPr="00AC73D3" w:rsidRDefault="006C0537" w:rsidP="006C053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AC73D3">
              <w:rPr>
                <w:rFonts w:asciiTheme="majorHAnsi" w:hAnsiTheme="majorHAnsi"/>
                <w:b/>
                <w:sz w:val="22"/>
                <w:szCs w:val="22"/>
              </w:rPr>
              <w:t>WHO</w:t>
            </w:r>
          </w:p>
        </w:tc>
        <w:tc>
          <w:tcPr>
            <w:tcW w:w="900" w:type="dxa"/>
          </w:tcPr>
          <w:p w14:paraId="3A3C789D" w14:textId="77777777" w:rsidR="006C0537" w:rsidRPr="00AC73D3" w:rsidRDefault="006C0537" w:rsidP="006C053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AC73D3">
              <w:rPr>
                <w:rFonts w:asciiTheme="majorHAnsi" w:hAnsiTheme="majorHAnsi"/>
                <w:b/>
                <w:sz w:val="22"/>
                <w:szCs w:val="22"/>
              </w:rPr>
              <w:t>TIME</w:t>
            </w:r>
          </w:p>
        </w:tc>
        <w:tc>
          <w:tcPr>
            <w:tcW w:w="990" w:type="dxa"/>
          </w:tcPr>
          <w:p w14:paraId="3CEBF521" w14:textId="77777777" w:rsidR="006C0537" w:rsidRPr="00A97191" w:rsidRDefault="006C0537" w:rsidP="006C053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INTENT</w:t>
            </w:r>
          </w:p>
        </w:tc>
        <w:tc>
          <w:tcPr>
            <w:tcW w:w="5778" w:type="dxa"/>
          </w:tcPr>
          <w:p w14:paraId="4327C183" w14:textId="77777777" w:rsidR="006C0537" w:rsidRPr="00AC73D3" w:rsidRDefault="006C0537" w:rsidP="006C053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AC73D3">
              <w:rPr>
                <w:rFonts w:asciiTheme="majorHAnsi" w:hAnsiTheme="majorHAnsi"/>
                <w:b/>
                <w:sz w:val="22"/>
                <w:szCs w:val="22"/>
              </w:rPr>
              <w:t>NOTES</w:t>
            </w:r>
          </w:p>
        </w:tc>
      </w:tr>
      <w:tr w:rsidR="006C0537" w:rsidRPr="00AC73D3" w14:paraId="3C2D4747" w14:textId="77777777" w:rsidTr="00C54E0C">
        <w:tc>
          <w:tcPr>
            <w:tcW w:w="5508" w:type="dxa"/>
          </w:tcPr>
          <w:p w14:paraId="5CF06DD6" w14:textId="77777777" w:rsidR="005F2637" w:rsidRPr="000E69E7" w:rsidRDefault="006C0537" w:rsidP="008E7C3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E2055D">
              <w:rPr>
                <w:rFonts w:asciiTheme="majorHAnsi" w:hAnsiTheme="majorHAnsi"/>
                <w:b/>
                <w:sz w:val="22"/>
                <w:szCs w:val="22"/>
              </w:rPr>
              <w:t xml:space="preserve">1. </w:t>
            </w:r>
            <w:r w:rsidR="00886224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746401">
              <w:rPr>
                <w:rFonts w:asciiTheme="majorHAnsi" w:hAnsiTheme="majorHAnsi"/>
                <w:b/>
                <w:sz w:val="22"/>
                <w:szCs w:val="22"/>
              </w:rPr>
              <w:t>Approval of A</w:t>
            </w:r>
            <w:r w:rsidRPr="00A97191">
              <w:rPr>
                <w:rFonts w:asciiTheme="majorHAnsi" w:hAnsiTheme="majorHAnsi"/>
                <w:b/>
                <w:sz w:val="22"/>
                <w:szCs w:val="22"/>
              </w:rPr>
              <w:t>genda</w:t>
            </w:r>
          </w:p>
        </w:tc>
        <w:tc>
          <w:tcPr>
            <w:tcW w:w="1440" w:type="dxa"/>
          </w:tcPr>
          <w:p w14:paraId="0EB28D20" w14:textId="77777777" w:rsidR="006C0537" w:rsidRPr="00AC73D3" w:rsidRDefault="006C0537" w:rsidP="006C053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C73D3">
              <w:rPr>
                <w:rFonts w:asciiTheme="majorHAnsi" w:hAnsiTheme="majorHAnsi"/>
                <w:sz w:val="22"/>
                <w:szCs w:val="22"/>
              </w:rPr>
              <w:t>All</w:t>
            </w:r>
          </w:p>
        </w:tc>
        <w:tc>
          <w:tcPr>
            <w:tcW w:w="900" w:type="dxa"/>
          </w:tcPr>
          <w:p w14:paraId="72DCCB0E" w14:textId="77777777" w:rsidR="006C0537" w:rsidRPr="00AC73D3" w:rsidRDefault="006C0537" w:rsidP="006C053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8E7C34">
              <w:rPr>
                <w:rFonts w:asciiTheme="majorHAnsi" w:hAnsiTheme="majorHAnsi"/>
                <w:sz w:val="22"/>
                <w:szCs w:val="22"/>
              </w:rPr>
              <w:t>3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min</w:t>
            </w:r>
          </w:p>
        </w:tc>
        <w:tc>
          <w:tcPr>
            <w:tcW w:w="990" w:type="dxa"/>
          </w:tcPr>
          <w:p w14:paraId="1B66CE66" w14:textId="77777777" w:rsidR="006C0537" w:rsidRPr="00AC73D3" w:rsidRDefault="006C0537" w:rsidP="006C053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</w:t>
            </w:r>
          </w:p>
        </w:tc>
        <w:tc>
          <w:tcPr>
            <w:tcW w:w="5778" w:type="dxa"/>
          </w:tcPr>
          <w:p w14:paraId="5208F1B3" w14:textId="187D86FB" w:rsidR="00C54E0C" w:rsidRPr="00DA5D0F" w:rsidRDefault="00474259" w:rsidP="00C54E0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No changes to the Agenda.</w:t>
            </w:r>
          </w:p>
        </w:tc>
      </w:tr>
      <w:tr w:rsidR="005E2B57" w:rsidRPr="00AC73D3" w14:paraId="7E21C919" w14:textId="77777777" w:rsidTr="00C54E0C">
        <w:tc>
          <w:tcPr>
            <w:tcW w:w="5508" w:type="dxa"/>
          </w:tcPr>
          <w:p w14:paraId="2E881F33" w14:textId="296DE9CB" w:rsidR="005E2B57" w:rsidRDefault="00C54E0C" w:rsidP="008E7C3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2.  Election of Officers</w:t>
            </w:r>
          </w:p>
        </w:tc>
        <w:tc>
          <w:tcPr>
            <w:tcW w:w="1440" w:type="dxa"/>
          </w:tcPr>
          <w:p w14:paraId="3721B78D" w14:textId="337440C0" w:rsidR="005E2B57" w:rsidRDefault="00C54E0C" w:rsidP="004D44E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Troy</w:t>
            </w:r>
          </w:p>
        </w:tc>
        <w:tc>
          <w:tcPr>
            <w:tcW w:w="900" w:type="dxa"/>
          </w:tcPr>
          <w:p w14:paraId="238B75C4" w14:textId="52D96F02" w:rsidR="005E2B57" w:rsidRDefault="00C54E0C" w:rsidP="004D44E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 min</w:t>
            </w:r>
          </w:p>
        </w:tc>
        <w:tc>
          <w:tcPr>
            <w:tcW w:w="990" w:type="dxa"/>
          </w:tcPr>
          <w:p w14:paraId="38319601" w14:textId="16A7695F" w:rsidR="005E2B57" w:rsidRDefault="00C54E0C" w:rsidP="004D44E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I, A</w:t>
            </w:r>
          </w:p>
        </w:tc>
        <w:tc>
          <w:tcPr>
            <w:tcW w:w="5778" w:type="dxa"/>
          </w:tcPr>
          <w:p w14:paraId="615467DF" w14:textId="67DA713A" w:rsidR="005E2B57" w:rsidRPr="00AC7289" w:rsidRDefault="00C54E0C" w:rsidP="00C54E0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Troy explained that the law requires CBOC to annually appoint a Chair and Vice Chair.  Troy further explained that District staff was required to do the majority of administrative work, such a prepare the agenda, documents, and arrang</w:t>
            </w:r>
            <w:r w:rsidR="00DA5D0F">
              <w:rPr>
                <w:rFonts w:asciiTheme="majorHAnsi" w:hAnsiTheme="majorHAnsi"/>
                <w:b/>
                <w:sz w:val="22"/>
                <w:szCs w:val="22"/>
              </w:rPr>
              <w:t xml:space="preserve">ing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meetings. Since there was not a quorum, no vote could take place.</w:t>
            </w:r>
          </w:p>
        </w:tc>
      </w:tr>
      <w:tr w:rsidR="008E7C34" w:rsidRPr="00AC73D3" w14:paraId="531A6A92" w14:textId="77777777" w:rsidTr="00C54E0C">
        <w:tc>
          <w:tcPr>
            <w:tcW w:w="5508" w:type="dxa"/>
          </w:tcPr>
          <w:p w14:paraId="3014542C" w14:textId="33F8E7D8" w:rsidR="008E7C34" w:rsidRDefault="00C54E0C" w:rsidP="008E7C3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3</w:t>
            </w:r>
            <w:r w:rsidR="008E7C34">
              <w:rPr>
                <w:rFonts w:asciiTheme="majorHAnsi" w:hAnsiTheme="majorHAnsi"/>
                <w:b/>
                <w:sz w:val="22"/>
                <w:szCs w:val="22"/>
              </w:rPr>
              <w:t xml:space="preserve">. </w:t>
            </w:r>
            <w:r w:rsidR="00886224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8E7C34">
              <w:rPr>
                <w:rFonts w:asciiTheme="majorHAnsi" w:hAnsiTheme="majorHAnsi"/>
                <w:b/>
                <w:sz w:val="22"/>
                <w:szCs w:val="22"/>
              </w:rPr>
              <w:t>Public Comment</w:t>
            </w:r>
          </w:p>
        </w:tc>
        <w:tc>
          <w:tcPr>
            <w:tcW w:w="1440" w:type="dxa"/>
          </w:tcPr>
          <w:p w14:paraId="16EDEC9C" w14:textId="77777777" w:rsidR="008E7C34" w:rsidRPr="005E7343" w:rsidRDefault="008E7C34" w:rsidP="004D44E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All</w:t>
            </w:r>
          </w:p>
        </w:tc>
        <w:tc>
          <w:tcPr>
            <w:tcW w:w="900" w:type="dxa"/>
          </w:tcPr>
          <w:p w14:paraId="409AE13B" w14:textId="77777777" w:rsidR="008E7C34" w:rsidRDefault="008E7C34" w:rsidP="004D44E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 min</w:t>
            </w:r>
          </w:p>
        </w:tc>
        <w:tc>
          <w:tcPr>
            <w:tcW w:w="990" w:type="dxa"/>
          </w:tcPr>
          <w:p w14:paraId="10BF75FE" w14:textId="77777777" w:rsidR="008E7C34" w:rsidRDefault="008E7C34" w:rsidP="004D44E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I, D</w:t>
            </w:r>
          </w:p>
        </w:tc>
        <w:tc>
          <w:tcPr>
            <w:tcW w:w="5778" w:type="dxa"/>
          </w:tcPr>
          <w:p w14:paraId="1C1E57C9" w14:textId="50D85386" w:rsidR="008E7C34" w:rsidRPr="00AC7289" w:rsidRDefault="00C54E0C" w:rsidP="004D44E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None.</w:t>
            </w:r>
          </w:p>
        </w:tc>
      </w:tr>
      <w:tr w:rsidR="00920891" w:rsidRPr="00AC73D3" w14:paraId="40AD9E8D" w14:textId="77777777" w:rsidTr="00C54E0C">
        <w:tc>
          <w:tcPr>
            <w:tcW w:w="5508" w:type="dxa"/>
          </w:tcPr>
          <w:p w14:paraId="787226DA" w14:textId="7E245534" w:rsidR="00F65EE8" w:rsidRDefault="00C54E0C" w:rsidP="005E2B5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4</w:t>
            </w:r>
            <w:r w:rsidR="00501A6C">
              <w:rPr>
                <w:rFonts w:asciiTheme="majorHAnsi" w:hAnsiTheme="majorHAnsi"/>
                <w:b/>
                <w:sz w:val="22"/>
                <w:szCs w:val="22"/>
              </w:rPr>
              <w:t xml:space="preserve">. </w:t>
            </w:r>
            <w:r w:rsidR="00ED1EF3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CB58BE">
              <w:rPr>
                <w:rFonts w:asciiTheme="majorHAnsi" w:hAnsiTheme="majorHAnsi"/>
                <w:b/>
                <w:sz w:val="22"/>
                <w:szCs w:val="22"/>
              </w:rPr>
              <w:t xml:space="preserve">Minutes of </w:t>
            </w:r>
            <w:r w:rsidR="005E2B57" w:rsidRPr="00546F72">
              <w:rPr>
                <w:rStyle w:val="Hyperlink"/>
                <w:rFonts w:asciiTheme="majorHAnsi" w:hAnsiTheme="majorHAnsi" w:cstheme="minorBidi"/>
                <w:b/>
                <w:color w:val="auto"/>
                <w:sz w:val="22"/>
                <w:szCs w:val="22"/>
                <w:u w:val="none"/>
              </w:rPr>
              <w:t>May 17, 2018</w:t>
            </w:r>
          </w:p>
        </w:tc>
        <w:tc>
          <w:tcPr>
            <w:tcW w:w="1440" w:type="dxa"/>
          </w:tcPr>
          <w:p w14:paraId="4E495F2C" w14:textId="77777777" w:rsidR="00920891" w:rsidRDefault="00920891" w:rsidP="006C053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6FD4FD10" w14:textId="77777777" w:rsidR="00F65EE8" w:rsidRDefault="00FC4E87" w:rsidP="006C053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Chair</w:t>
            </w:r>
          </w:p>
        </w:tc>
        <w:tc>
          <w:tcPr>
            <w:tcW w:w="900" w:type="dxa"/>
          </w:tcPr>
          <w:p w14:paraId="58FD4619" w14:textId="77777777" w:rsidR="00920891" w:rsidRDefault="00FC4E87" w:rsidP="006C053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 min</w:t>
            </w:r>
          </w:p>
        </w:tc>
        <w:tc>
          <w:tcPr>
            <w:tcW w:w="990" w:type="dxa"/>
          </w:tcPr>
          <w:p w14:paraId="07770D85" w14:textId="77777777" w:rsidR="00920891" w:rsidRDefault="00FC4E87" w:rsidP="006C053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I, D, A</w:t>
            </w:r>
          </w:p>
        </w:tc>
        <w:tc>
          <w:tcPr>
            <w:tcW w:w="5778" w:type="dxa"/>
          </w:tcPr>
          <w:p w14:paraId="7D4E5206" w14:textId="6526D016" w:rsidR="00920891" w:rsidRPr="00AC7289" w:rsidRDefault="00C54E0C" w:rsidP="00C54E0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Deferred</w:t>
            </w:r>
            <w:r w:rsidR="006E0F99">
              <w:rPr>
                <w:rFonts w:asciiTheme="majorHAnsi" w:hAnsiTheme="majorHAnsi"/>
                <w:b/>
                <w:sz w:val="22"/>
                <w:szCs w:val="22"/>
              </w:rPr>
              <w:t>.</w:t>
            </w:r>
          </w:p>
        </w:tc>
      </w:tr>
      <w:tr w:rsidR="003A119D" w:rsidRPr="00AC73D3" w14:paraId="7CDD6B18" w14:textId="77777777" w:rsidTr="00C54E0C">
        <w:tc>
          <w:tcPr>
            <w:tcW w:w="5508" w:type="dxa"/>
          </w:tcPr>
          <w:p w14:paraId="5FA85020" w14:textId="298403AA" w:rsidR="003A119D" w:rsidRDefault="00C54E0C" w:rsidP="003A119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5</w:t>
            </w:r>
            <w:r w:rsidR="003A119D">
              <w:rPr>
                <w:rFonts w:asciiTheme="majorHAnsi" w:hAnsiTheme="majorHAnsi"/>
                <w:b/>
                <w:sz w:val="22"/>
                <w:szCs w:val="22"/>
              </w:rPr>
              <w:t xml:space="preserve">. </w:t>
            </w:r>
            <w:r w:rsidR="00886224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3A119D">
              <w:rPr>
                <w:rFonts w:asciiTheme="majorHAnsi" w:hAnsiTheme="majorHAnsi"/>
                <w:b/>
                <w:sz w:val="22"/>
                <w:szCs w:val="22"/>
              </w:rPr>
              <w:t>Financial Report Update</w:t>
            </w:r>
          </w:p>
        </w:tc>
        <w:tc>
          <w:tcPr>
            <w:tcW w:w="1440" w:type="dxa"/>
          </w:tcPr>
          <w:p w14:paraId="5716D1B6" w14:textId="77777777" w:rsidR="003A119D" w:rsidRPr="005F2637" w:rsidRDefault="003A119D" w:rsidP="003A119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Troy/Green</w:t>
            </w:r>
          </w:p>
        </w:tc>
        <w:tc>
          <w:tcPr>
            <w:tcW w:w="900" w:type="dxa"/>
          </w:tcPr>
          <w:p w14:paraId="21781726" w14:textId="77777777" w:rsidR="003A119D" w:rsidRDefault="003A119D" w:rsidP="003A119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15 min</w:t>
            </w:r>
          </w:p>
        </w:tc>
        <w:tc>
          <w:tcPr>
            <w:tcW w:w="990" w:type="dxa"/>
          </w:tcPr>
          <w:p w14:paraId="171CD317" w14:textId="77777777" w:rsidR="003A119D" w:rsidRDefault="003A119D" w:rsidP="003A119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I, D</w:t>
            </w:r>
          </w:p>
        </w:tc>
        <w:tc>
          <w:tcPr>
            <w:tcW w:w="5778" w:type="dxa"/>
          </w:tcPr>
          <w:p w14:paraId="47DADB5E" w14:textId="77777777" w:rsidR="003A119D" w:rsidRDefault="003A119D" w:rsidP="003A119D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Quarterly Financial Reports </w:t>
            </w:r>
          </w:p>
          <w:p w14:paraId="38ACEDE7" w14:textId="0ACE5B95" w:rsidR="00CB58BE" w:rsidRDefault="00546F72" w:rsidP="003A119D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hyperlink r:id="rId8" w:history="1">
              <w:r w:rsidR="00C54E0C" w:rsidRPr="00606C9D">
                <w:rPr>
                  <w:rStyle w:val="Hyperlink"/>
                  <w:rFonts w:asciiTheme="majorHAnsi" w:hAnsiTheme="majorHAnsi" w:cstheme="minorBidi"/>
                  <w:b/>
                  <w:sz w:val="22"/>
                  <w:szCs w:val="22"/>
                </w:rPr>
                <w:t>June 30, 2018</w:t>
              </w:r>
            </w:hyperlink>
          </w:p>
          <w:p w14:paraId="571FDFE6" w14:textId="4247811F" w:rsidR="00C54E0C" w:rsidRPr="003A119D" w:rsidRDefault="00C54E0C" w:rsidP="00C54E0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Green</w:t>
            </w:r>
            <w:r w:rsidR="00606C9D">
              <w:rPr>
                <w:rFonts w:asciiTheme="majorHAnsi" w:hAnsiTheme="majorHAnsi"/>
                <w:b/>
                <w:sz w:val="22"/>
                <w:szCs w:val="22"/>
              </w:rPr>
              <w:t xml:space="preserve"> reviewed the </w:t>
            </w:r>
            <w:r w:rsidR="00DA5D0F">
              <w:rPr>
                <w:rFonts w:asciiTheme="majorHAnsi" w:hAnsiTheme="majorHAnsi"/>
                <w:b/>
                <w:sz w:val="22"/>
                <w:szCs w:val="22"/>
              </w:rPr>
              <w:t>June 30, 2018</w:t>
            </w:r>
            <w:r w:rsidR="00606C9D">
              <w:rPr>
                <w:rFonts w:asciiTheme="majorHAnsi" w:hAnsiTheme="majorHAnsi"/>
                <w:b/>
                <w:sz w:val="22"/>
                <w:szCs w:val="22"/>
              </w:rPr>
              <w:t xml:space="preserve"> Quarterly Financial Report with the committee.</w:t>
            </w:r>
            <w:r w:rsidR="00413E31">
              <w:rPr>
                <w:rFonts w:asciiTheme="majorHAnsi" w:hAnsiTheme="majorHAnsi"/>
                <w:b/>
                <w:sz w:val="22"/>
                <w:szCs w:val="22"/>
              </w:rPr>
              <w:t xml:space="preserve">  Green pointed out that the Second Issuance resulted in the retirement of the COPs.</w:t>
            </w:r>
          </w:p>
        </w:tc>
        <w:bookmarkStart w:id="0" w:name="_GoBack"/>
        <w:bookmarkEnd w:id="0"/>
      </w:tr>
      <w:tr w:rsidR="003A119D" w:rsidRPr="00AC73D3" w14:paraId="3AAB9C47" w14:textId="77777777" w:rsidTr="00C54E0C">
        <w:tc>
          <w:tcPr>
            <w:tcW w:w="5508" w:type="dxa"/>
          </w:tcPr>
          <w:p w14:paraId="5562712D" w14:textId="73AF1AD5" w:rsidR="003A119D" w:rsidRDefault="00C54E0C" w:rsidP="003A119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="Calibri-Bold" w:hAnsi="Calibri-Bold" w:cs="Calibri-Bold"/>
                <w:b/>
                <w:bCs/>
                <w:sz w:val="22"/>
                <w:szCs w:val="22"/>
              </w:rPr>
              <w:t xml:space="preserve">6. Update Second Issuance Projects </w:t>
            </w:r>
          </w:p>
        </w:tc>
        <w:tc>
          <w:tcPr>
            <w:tcW w:w="1440" w:type="dxa"/>
          </w:tcPr>
          <w:p w14:paraId="3C9CB61F" w14:textId="0D339104" w:rsidR="003A119D" w:rsidRDefault="00C54E0C" w:rsidP="003A119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Troy/Reece</w:t>
            </w:r>
          </w:p>
        </w:tc>
        <w:tc>
          <w:tcPr>
            <w:tcW w:w="900" w:type="dxa"/>
          </w:tcPr>
          <w:p w14:paraId="630396E1" w14:textId="563579B9" w:rsidR="003A119D" w:rsidRDefault="00C54E0C" w:rsidP="003A119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 min</w:t>
            </w:r>
          </w:p>
        </w:tc>
        <w:tc>
          <w:tcPr>
            <w:tcW w:w="990" w:type="dxa"/>
          </w:tcPr>
          <w:p w14:paraId="1BC02ADB" w14:textId="5C8BA112" w:rsidR="003A119D" w:rsidRDefault="00C54E0C" w:rsidP="003A119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</w:t>
            </w:r>
          </w:p>
        </w:tc>
        <w:tc>
          <w:tcPr>
            <w:tcW w:w="5778" w:type="dxa"/>
          </w:tcPr>
          <w:p w14:paraId="3638C35D" w14:textId="031116DC" w:rsidR="003A119D" w:rsidRPr="00AC7289" w:rsidRDefault="00606C9D" w:rsidP="00606C9D">
            <w:pPr>
              <w:spacing w:after="160" w:line="259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606C9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Brian McAlister provided updates on </w:t>
            </w:r>
            <w:r w:rsidR="00413E3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Second </w:t>
            </w:r>
            <w:r w:rsidRPr="00606C9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Issuance work, including the Aquatics Center, the Data Center, and the ADA renovations for 1200/1400 facilities. It was also mentioned that bids were open for the ECE building and for stabilization work for the Hollister Adobe. Lathrop asked if modular would be removed from </w:t>
            </w:r>
            <w:r w:rsidR="00DA5D0F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the North County Campus </w:t>
            </w:r>
            <w:r w:rsidRPr="00606C9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once the ECE was completed.  Reece affirmed they would be removed, and the space would be replaced with a walkway.  </w:t>
            </w:r>
          </w:p>
        </w:tc>
      </w:tr>
      <w:tr w:rsidR="003A119D" w:rsidRPr="00AC73D3" w14:paraId="69842EE9" w14:textId="77777777" w:rsidTr="00C54E0C">
        <w:tc>
          <w:tcPr>
            <w:tcW w:w="5508" w:type="dxa"/>
          </w:tcPr>
          <w:p w14:paraId="6497334C" w14:textId="26A4E7A3" w:rsidR="003A119D" w:rsidRDefault="00C54E0C" w:rsidP="003A119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="Calibri-Bold" w:hAnsi="Calibri-Bold" w:cs="Calibri-Bold"/>
                <w:b/>
                <w:bCs/>
                <w:sz w:val="22"/>
                <w:szCs w:val="22"/>
              </w:rPr>
              <w:t>7. Third Issuance Planning</w:t>
            </w:r>
          </w:p>
        </w:tc>
        <w:tc>
          <w:tcPr>
            <w:tcW w:w="1440" w:type="dxa"/>
          </w:tcPr>
          <w:p w14:paraId="1797CCD8" w14:textId="69BF3BA8" w:rsidR="003A119D" w:rsidRDefault="00C54E0C" w:rsidP="003A119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Troy/Reece</w:t>
            </w:r>
          </w:p>
        </w:tc>
        <w:tc>
          <w:tcPr>
            <w:tcW w:w="900" w:type="dxa"/>
          </w:tcPr>
          <w:p w14:paraId="359A32F7" w14:textId="29FF31AE" w:rsidR="003A119D" w:rsidRDefault="00C54E0C" w:rsidP="003A119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 min</w:t>
            </w:r>
          </w:p>
        </w:tc>
        <w:tc>
          <w:tcPr>
            <w:tcW w:w="990" w:type="dxa"/>
          </w:tcPr>
          <w:p w14:paraId="77A205EB" w14:textId="1AFCA230" w:rsidR="003A119D" w:rsidRDefault="00C54E0C" w:rsidP="003A119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I, D</w:t>
            </w:r>
          </w:p>
        </w:tc>
        <w:tc>
          <w:tcPr>
            <w:tcW w:w="5778" w:type="dxa"/>
          </w:tcPr>
          <w:p w14:paraId="1DCA008F" w14:textId="1152A990" w:rsidR="003A119D" w:rsidRPr="00AC7289" w:rsidRDefault="00606C9D" w:rsidP="00913A21">
            <w:pPr>
              <w:spacing w:after="160" w:line="259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606C9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Major focus of discussion was the District’s decision to renovate the existing 3100 </w:t>
            </w:r>
            <w:proofErr w:type="gramStart"/>
            <w:r w:rsidRPr="00606C9D">
              <w:rPr>
                <w:rFonts w:asciiTheme="majorHAnsi" w:hAnsiTheme="majorHAnsi" w:cstheme="majorHAnsi"/>
                <w:b/>
                <w:sz w:val="22"/>
                <w:szCs w:val="22"/>
              </w:rPr>
              <w:t>complex</w:t>
            </w:r>
            <w:proofErr w:type="gramEnd"/>
            <w:r w:rsidRPr="00606C9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rather than build a new Campus Center on the SLO campus.  Troy explained that the District thought that the Measure L funds would be better spent by fixing an existing complex to fit current needs for a one-stop student services site than to add more square footage to the campus.  Further, a new Campus Center would likely not be large enough to incorporate all of the staff required to provide a one-stop center.</w:t>
            </w:r>
            <w:r w:rsidR="00345B3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Pr="00606C9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345B38">
              <w:rPr>
                <w:rFonts w:asciiTheme="majorHAnsi" w:hAnsiTheme="majorHAnsi" w:cstheme="majorHAnsi"/>
                <w:b/>
                <w:sz w:val="22"/>
                <w:szCs w:val="22"/>
              </w:rPr>
              <w:t>Additionally</w:t>
            </w:r>
            <w:r w:rsidRPr="00606C9D">
              <w:rPr>
                <w:rFonts w:asciiTheme="majorHAnsi" w:hAnsiTheme="majorHAnsi" w:cstheme="majorHAnsi"/>
                <w:b/>
                <w:sz w:val="22"/>
                <w:szCs w:val="22"/>
              </w:rPr>
              <w:t>, the cost of a new Campus Center would crowd out funds to fix the existing 3100 building.  The renovation and supporting modifications (new pathways, etc.) could be completed with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in</w:t>
            </w:r>
            <w:r w:rsidRPr="00606C9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the existing budget for the Campus Center.  Members asked to view old and new floorplans when available.</w:t>
            </w:r>
          </w:p>
        </w:tc>
      </w:tr>
      <w:tr w:rsidR="003A119D" w:rsidRPr="00AC73D3" w14:paraId="191AF7B2" w14:textId="77777777" w:rsidTr="00C54E0C">
        <w:tc>
          <w:tcPr>
            <w:tcW w:w="5508" w:type="dxa"/>
          </w:tcPr>
          <w:p w14:paraId="0F088CFF" w14:textId="7A4D651D" w:rsidR="003A119D" w:rsidRDefault="00C54E0C" w:rsidP="003A119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="Calibri-Bold" w:hAnsi="Calibri-Bold" w:cs="Calibri-Bold"/>
                <w:b/>
                <w:bCs/>
                <w:sz w:val="22"/>
                <w:szCs w:val="22"/>
              </w:rPr>
              <w:t>8. Select Future Meeting Dates</w:t>
            </w:r>
          </w:p>
        </w:tc>
        <w:tc>
          <w:tcPr>
            <w:tcW w:w="1440" w:type="dxa"/>
          </w:tcPr>
          <w:p w14:paraId="5615B8C6" w14:textId="7C8DAC35" w:rsidR="003A119D" w:rsidRPr="005F2637" w:rsidRDefault="00C54E0C" w:rsidP="003A119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All</w:t>
            </w:r>
          </w:p>
        </w:tc>
        <w:tc>
          <w:tcPr>
            <w:tcW w:w="900" w:type="dxa"/>
          </w:tcPr>
          <w:p w14:paraId="1A5E6F3B" w14:textId="6E1B73DF" w:rsidR="003A119D" w:rsidRDefault="00C54E0C" w:rsidP="003A119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 min</w:t>
            </w:r>
          </w:p>
        </w:tc>
        <w:tc>
          <w:tcPr>
            <w:tcW w:w="990" w:type="dxa"/>
          </w:tcPr>
          <w:p w14:paraId="33DDE21B" w14:textId="3D3D5363" w:rsidR="003A119D" w:rsidRDefault="00C54E0C" w:rsidP="003A119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I, D, A</w:t>
            </w:r>
          </w:p>
        </w:tc>
        <w:tc>
          <w:tcPr>
            <w:tcW w:w="5778" w:type="dxa"/>
          </w:tcPr>
          <w:p w14:paraId="6237FE13" w14:textId="2E7472BA" w:rsidR="003A119D" w:rsidRPr="00913A21" w:rsidRDefault="00913A21" w:rsidP="00913A21">
            <w:pPr>
              <w:spacing w:after="160" w:line="259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13A21">
              <w:rPr>
                <w:rFonts w:asciiTheme="majorHAnsi" w:hAnsiTheme="majorHAnsi" w:cstheme="majorHAnsi"/>
                <w:b/>
                <w:sz w:val="22"/>
                <w:szCs w:val="22"/>
              </w:rPr>
              <w:t>The members expressed a preference for meeting on Fridays and in SLO.  It was agreed that a meeting in March would be planned.</w:t>
            </w:r>
          </w:p>
        </w:tc>
      </w:tr>
      <w:tr w:rsidR="003A119D" w:rsidRPr="00AC73D3" w14:paraId="712330A3" w14:textId="77777777" w:rsidTr="00C54E0C">
        <w:tc>
          <w:tcPr>
            <w:tcW w:w="5508" w:type="dxa"/>
          </w:tcPr>
          <w:p w14:paraId="3A9D2482" w14:textId="661A41AA" w:rsidR="003A119D" w:rsidRDefault="00C54E0C" w:rsidP="003A119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="Calibri-Bold" w:hAnsi="Calibri-Bold" w:cs="Calibri-Bold"/>
                <w:b/>
                <w:bCs/>
                <w:sz w:val="22"/>
                <w:szCs w:val="22"/>
              </w:rPr>
              <w:t>9. Future Agenda Items</w:t>
            </w:r>
          </w:p>
        </w:tc>
        <w:tc>
          <w:tcPr>
            <w:tcW w:w="1440" w:type="dxa"/>
          </w:tcPr>
          <w:p w14:paraId="398E5596" w14:textId="1DD8BB6B" w:rsidR="003A119D" w:rsidRPr="00FB4DF8" w:rsidRDefault="00C54E0C" w:rsidP="003A119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All</w:t>
            </w:r>
          </w:p>
        </w:tc>
        <w:tc>
          <w:tcPr>
            <w:tcW w:w="900" w:type="dxa"/>
          </w:tcPr>
          <w:p w14:paraId="24762479" w14:textId="0424F5F7" w:rsidR="003A119D" w:rsidRDefault="00C54E0C" w:rsidP="003A119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 min</w:t>
            </w:r>
          </w:p>
        </w:tc>
        <w:tc>
          <w:tcPr>
            <w:tcW w:w="990" w:type="dxa"/>
          </w:tcPr>
          <w:p w14:paraId="63620CA6" w14:textId="77DDBBC4" w:rsidR="003A119D" w:rsidRDefault="00C54E0C" w:rsidP="003A119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I, D</w:t>
            </w:r>
          </w:p>
        </w:tc>
        <w:tc>
          <w:tcPr>
            <w:tcW w:w="5778" w:type="dxa"/>
          </w:tcPr>
          <w:p w14:paraId="438C1C37" w14:textId="04C15BA3" w:rsidR="003A119D" w:rsidRPr="00913A21" w:rsidRDefault="00913A21" w:rsidP="00913A2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13A21">
              <w:rPr>
                <w:rFonts w:asciiTheme="majorHAnsi" w:hAnsiTheme="majorHAnsi" w:cstheme="majorHAnsi"/>
                <w:b/>
                <w:sz w:val="22"/>
                <w:szCs w:val="22"/>
              </w:rPr>
              <w:t>The Annual Report would be a key focus of the next meeting, and items deferred from this meeting would be carried over.</w:t>
            </w:r>
          </w:p>
        </w:tc>
      </w:tr>
      <w:tr w:rsidR="00913A21" w:rsidRPr="00AC73D3" w14:paraId="45267DE8" w14:textId="77777777" w:rsidTr="00C54E0C">
        <w:tc>
          <w:tcPr>
            <w:tcW w:w="5508" w:type="dxa"/>
          </w:tcPr>
          <w:p w14:paraId="5781A90D" w14:textId="21F6AF24" w:rsidR="00913A21" w:rsidRDefault="00913A21" w:rsidP="00886224">
            <w:pPr>
              <w:rPr>
                <w:rFonts w:ascii="Calibri-Bold" w:hAnsi="Calibri-Bold" w:cs="Calibri-Bold"/>
                <w:b/>
                <w:bCs/>
                <w:sz w:val="22"/>
                <w:szCs w:val="22"/>
              </w:rPr>
            </w:pPr>
            <w:r>
              <w:rPr>
                <w:rFonts w:ascii="Calibri-Bold" w:hAnsi="Calibri-Bold" w:cs="Calibri-Bold"/>
                <w:b/>
                <w:bCs/>
                <w:sz w:val="22"/>
                <w:szCs w:val="22"/>
              </w:rPr>
              <w:t>10.  Adjournment</w:t>
            </w:r>
          </w:p>
        </w:tc>
        <w:tc>
          <w:tcPr>
            <w:tcW w:w="1440" w:type="dxa"/>
          </w:tcPr>
          <w:p w14:paraId="243F4EF0" w14:textId="4FA2CE54" w:rsidR="00913A21" w:rsidRDefault="00913A21" w:rsidP="00B35D5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All</w:t>
            </w:r>
          </w:p>
        </w:tc>
        <w:tc>
          <w:tcPr>
            <w:tcW w:w="900" w:type="dxa"/>
          </w:tcPr>
          <w:p w14:paraId="2BC4004A" w14:textId="3613702F" w:rsidR="00913A21" w:rsidRDefault="00913A21" w:rsidP="00B35D5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 min</w:t>
            </w:r>
          </w:p>
        </w:tc>
        <w:tc>
          <w:tcPr>
            <w:tcW w:w="990" w:type="dxa"/>
          </w:tcPr>
          <w:p w14:paraId="194BEC14" w14:textId="4AB6D439" w:rsidR="00913A21" w:rsidRDefault="00913A21" w:rsidP="00B35D5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</w:t>
            </w:r>
          </w:p>
        </w:tc>
        <w:tc>
          <w:tcPr>
            <w:tcW w:w="5778" w:type="dxa"/>
          </w:tcPr>
          <w:p w14:paraId="10AC82E6" w14:textId="0EF1997E" w:rsidR="00913A21" w:rsidRPr="00AC7289" w:rsidRDefault="00474259" w:rsidP="00913A2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T</w:t>
            </w:r>
            <w:r w:rsidR="00913A21">
              <w:rPr>
                <w:rFonts w:asciiTheme="majorHAnsi" w:hAnsiTheme="majorHAnsi"/>
                <w:b/>
                <w:sz w:val="22"/>
                <w:szCs w:val="22"/>
              </w:rPr>
              <w:t>he meeting adjourned.</w:t>
            </w:r>
          </w:p>
        </w:tc>
      </w:tr>
      <w:tr w:rsidR="00B35D5B" w:rsidRPr="00AC73D3" w14:paraId="6F471F3A" w14:textId="77777777" w:rsidTr="00C54E0C">
        <w:tc>
          <w:tcPr>
            <w:tcW w:w="5508" w:type="dxa"/>
          </w:tcPr>
          <w:p w14:paraId="6E0DC211" w14:textId="26D2B8D8" w:rsidR="00B35D5B" w:rsidRDefault="00C54E0C" w:rsidP="0088622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="Calibri-Bold" w:hAnsi="Calibri-Bold" w:cs="Calibri-Bold"/>
                <w:b/>
                <w:bCs/>
                <w:sz w:val="22"/>
                <w:szCs w:val="22"/>
              </w:rPr>
              <w:t>10. Tour of N1000/1100</w:t>
            </w:r>
          </w:p>
        </w:tc>
        <w:tc>
          <w:tcPr>
            <w:tcW w:w="1440" w:type="dxa"/>
          </w:tcPr>
          <w:p w14:paraId="20DAF2E6" w14:textId="10031A52" w:rsidR="00B35D5B" w:rsidRPr="00FB4DF8" w:rsidRDefault="00C54E0C" w:rsidP="00B35D5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All</w:t>
            </w:r>
          </w:p>
        </w:tc>
        <w:tc>
          <w:tcPr>
            <w:tcW w:w="900" w:type="dxa"/>
          </w:tcPr>
          <w:p w14:paraId="0AA52A9D" w14:textId="11F76BC5" w:rsidR="00B35D5B" w:rsidRDefault="00C54E0C" w:rsidP="00B35D5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20 min</w:t>
            </w:r>
          </w:p>
        </w:tc>
        <w:tc>
          <w:tcPr>
            <w:tcW w:w="990" w:type="dxa"/>
          </w:tcPr>
          <w:p w14:paraId="7D608054" w14:textId="573A19E2" w:rsidR="00B35D5B" w:rsidRDefault="00B35D5B" w:rsidP="00B35D5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778" w:type="dxa"/>
          </w:tcPr>
          <w:p w14:paraId="7A2818AA" w14:textId="48FABAC4" w:rsidR="00B35D5B" w:rsidRPr="00AC7289" w:rsidRDefault="00913A21" w:rsidP="00913A2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Members toured the North County Campus Center.</w:t>
            </w:r>
          </w:p>
        </w:tc>
      </w:tr>
    </w:tbl>
    <w:p w14:paraId="1685DC73" w14:textId="77777777" w:rsidR="00602792" w:rsidRPr="00DB4410" w:rsidRDefault="00602792" w:rsidP="00DB4410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</w:t>
      </w:r>
      <w:r w:rsidR="00A4533D">
        <w:rPr>
          <w:rFonts w:ascii="Arial" w:hAnsi="Arial" w:cs="Arial"/>
          <w:b/>
          <w:sz w:val="16"/>
          <w:szCs w:val="16"/>
        </w:rPr>
        <w:t xml:space="preserve">                                                          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4137B6">
        <w:rPr>
          <w:rFonts w:ascii="Arial" w:hAnsi="Arial" w:cs="Arial"/>
          <w:b/>
          <w:sz w:val="16"/>
          <w:szCs w:val="16"/>
        </w:rPr>
        <w:t>*</w:t>
      </w:r>
      <w:proofErr w:type="gramStart"/>
      <w:r w:rsidRPr="004137B6">
        <w:rPr>
          <w:rFonts w:ascii="Arial" w:hAnsi="Arial" w:cs="Arial"/>
          <w:b/>
          <w:sz w:val="16"/>
          <w:szCs w:val="16"/>
        </w:rPr>
        <w:t>A  Action</w:t>
      </w:r>
      <w:proofErr w:type="gramEnd"/>
      <w:r w:rsidRPr="004137B6">
        <w:rPr>
          <w:rFonts w:ascii="Arial" w:hAnsi="Arial" w:cs="Arial"/>
          <w:b/>
          <w:sz w:val="16"/>
          <w:szCs w:val="16"/>
        </w:rPr>
        <w:t xml:space="preserve"> Item     D  Discussion     I  Information     H  Handout</w:t>
      </w:r>
      <w:r>
        <w:rPr>
          <w:rFonts w:ascii="Arial" w:hAnsi="Arial" w:cs="Arial"/>
          <w:b/>
          <w:sz w:val="16"/>
          <w:szCs w:val="16"/>
        </w:rPr>
        <w:t xml:space="preserve"> </w:t>
      </w:r>
    </w:p>
    <w:sectPr w:rsidR="00602792" w:rsidRPr="00DB4410" w:rsidSect="00AC73D3">
      <w:footerReference w:type="default" r:id="rId9"/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9C440" w14:textId="77777777" w:rsidR="004D44EE" w:rsidRDefault="004D44EE" w:rsidP="00C54B88">
      <w:r>
        <w:separator/>
      </w:r>
    </w:p>
  </w:endnote>
  <w:endnote w:type="continuationSeparator" w:id="0">
    <w:p w14:paraId="087AAACA" w14:textId="77777777" w:rsidR="004D44EE" w:rsidRDefault="004D44EE" w:rsidP="00C5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24D86" w14:textId="77777777" w:rsidR="004D44EE" w:rsidRPr="0088022E" w:rsidRDefault="004D44EE" w:rsidP="00602792">
    <w:pPr>
      <w:pStyle w:val="Footer"/>
      <w:rPr>
        <w:rFonts w:asciiTheme="majorHAnsi" w:hAnsiTheme="majorHAnsi"/>
        <w:b/>
        <w:sz w:val="20"/>
        <w:szCs w:val="20"/>
      </w:rPr>
    </w:pPr>
    <w:r w:rsidRPr="0088022E">
      <w:rPr>
        <w:rFonts w:asciiTheme="majorHAnsi" w:hAnsiTheme="majorHAnsi"/>
        <w:sz w:val="20"/>
        <w:szCs w:val="20"/>
      </w:rPr>
      <w:t>*Discussion on any agenda item may lead to Action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4C49A" w14:textId="77777777" w:rsidR="004D44EE" w:rsidRDefault="004D44EE" w:rsidP="00C54B88">
      <w:r>
        <w:separator/>
      </w:r>
    </w:p>
  </w:footnote>
  <w:footnote w:type="continuationSeparator" w:id="0">
    <w:p w14:paraId="74972740" w14:textId="77777777" w:rsidR="004D44EE" w:rsidRDefault="004D44EE" w:rsidP="00C54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46C0"/>
    <w:multiLevelType w:val="hybridMultilevel"/>
    <w:tmpl w:val="A5FC4A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D11B3"/>
    <w:multiLevelType w:val="hybridMultilevel"/>
    <w:tmpl w:val="56F6B5C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CC7567"/>
    <w:multiLevelType w:val="hybridMultilevel"/>
    <w:tmpl w:val="6B2CD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EF514D"/>
    <w:multiLevelType w:val="hybridMultilevel"/>
    <w:tmpl w:val="916E9F5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256264EE"/>
    <w:multiLevelType w:val="hybridMultilevel"/>
    <w:tmpl w:val="F1223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0477B"/>
    <w:multiLevelType w:val="hybridMultilevel"/>
    <w:tmpl w:val="86944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771FA"/>
    <w:multiLevelType w:val="hybridMultilevel"/>
    <w:tmpl w:val="AA8891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C5045"/>
    <w:multiLevelType w:val="hybridMultilevel"/>
    <w:tmpl w:val="E20C8C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57502"/>
    <w:multiLevelType w:val="hybridMultilevel"/>
    <w:tmpl w:val="8F64612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A5031C"/>
    <w:multiLevelType w:val="hybridMultilevel"/>
    <w:tmpl w:val="36328B1E"/>
    <w:lvl w:ilvl="0" w:tplc="F244B0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3D048B"/>
    <w:multiLevelType w:val="hybridMultilevel"/>
    <w:tmpl w:val="297E11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85370F"/>
    <w:multiLevelType w:val="hybridMultilevel"/>
    <w:tmpl w:val="D7DE193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72F15F2E"/>
    <w:multiLevelType w:val="hybridMultilevel"/>
    <w:tmpl w:val="99280248"/>
    <w:lvl w:ilvl="0" w:tplc="C9728D6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F863DE"/>
    <w:multiLevelType w:val="hybridMultilevel"/>
    <w:tmpl w:val="25E65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7"/>
  </w:num>
  <w:num w:numId="5">
    <w:abstractNumId w:val="12"/>
  </w:num>
  <w:num w:numId="6">
    <w:abstractNumId w:val="5"/>
  </w:num>
  <w:num w:numId="7">
    <w:abstractNumId w:val="4"/>
  </w:num>
  <w:num w:numId="8">
    <w:abstractNumId w:val="11"/>
  </w:num>
  <w:num w:numId="9">
    <w:abstractNumId w:val="3"/>
  </w:num>
  <w:num w:numId="10">
    <w:abstractNumId w:val="6"/>
  </w:num>
  <w:num w:numId="11">
    <w:abstractNumId w:val="1"/>
  </w:num>
  <w:num w:numId="12">
    <w:abstractNumId w:val="0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D13"/>
    <w:rsid w:val="0002453A"/>
    <w:rsid w:val="000340E6"/>
    <w:rsid w:val="0004245F"/>
    <w:rsid w:val="00042E91"/>
    <w:rsid w:val="00043207"/>
    <w:rsid w:val="000544BF"/>
    <w:rsid w:val="000547B8"/>
    <w:rsid w:val="000646BD"/>
    <w:rsid w:val="00065D58"/>
    <w:rsid w:val="00076E44"/>
    <w:rsid w:val="00077CB0"/>
    <w:rsid w:val="00081B37"/>
    <w:rsid w:val="00083F21"/>
    <w:rsid w:val="000928A4"/>
    <w:rsid w:val="00095005"/>
    <w:rsid w:val="000A60E9"/>
    <w:rsid w:val="000A7654"/>
    <w:rsid w:val="000C0C98"/>
    <w:rsid w:val="000C3992"/>
    <w:rsid w:val="000C3A4D"/>
    <w:rsid w:val="000C40CA"/>
    <w:rsid w:val="000E69E7"/>
    <w:rsid w:val="000F440C"/>
    <w:rsid w:val="000F4787"/>
    <w:rsid w:val="001033F8"/>
    <w:rsid w:val="00125685"/>
    <w:rsid w:val="0013188C"/>
    <w:rsid w:val="00132766"/>
    <w:rsid w:val="00142520"/>
    <w:rsid w:val="00147D13"/>
    <w:rsid w:val="00156309"/>
    <w:rsid w:val="00164E43"/>
    <w:rsid w:val="00174413"/>
    <w:rsid w:val="00176BCF"/>
    <w:rsid w:val="001863FE"/>
    <w:rsid w:val="001923FD"/>
    <w:rsid w:val="001A48DC"/>
    <w:rsid w:val="001C1444"/>
    <w:rsid w:val="001C72B9"/>
    <w:rsid w:val="001E7B5A"/>
    <w:rsid w:val="001F3FC9"/>
    <w:rsid w:val="00210870"/>
    <w:rsid w:val="00220700"/>
    <w:rsid w:val="00220E0A"/>
    <w:rsid w:val="00240037"/>
    <w:rsid w:val="002413E2"/>
    <w:rsid w:val="00247E32"/>
    <w:rsid w:val="002647D7"/>
    <w:rsid w:val="00277681"/>
    <w:rsid w:val="00292AA3"/>
    <w:rsid w:val="002940B2"/>
    <w:rsid w:val="002A3DD0"/>
    <w:rsid w:val="002A5A60"/>
    <w:rsid w:val="002B5E6E"/>
    <w:rsid w:val="002C051C"/>
    <w:rsid w:val="002C55AE"/>
    <w:rsid w:val="002D7B74"/>
    <w:rsid w:val="002E2D38"/>
    <w:rsid w:val="002F2A78"/>
    <w:rsid w:val="00304E43"/>
    <w:rsid w:val="00325233"/>
    <w:rsid w:val="00326BC3"/>
    <w:rsid w:val="0033215B"/>
    <w:rsid w:val="00345B38"/>
    <w:rsid w:val="003475FF"/>
    <w:rsid w:val="00361785"/>
    <w:rsid w:val="00364DB9"/>
    <w:rsid w:val="00380C65"/>
    <w:rsid w:val="00387522"/>
    <w:rsid w:val="003A119D"/>
    <w:rsid w:val="003B3D5E"/>
    <w:rsid w:val="003C152C"/>
    <w:rsid w:val="003C2222"/>
    <w:rsid w:val="003E1870"/>
    <w:rsid w:val="003E55C4"/>
    <w:rsid w:val="003E7610"/>
    <w:rsid w:val="003F6081"/>
    <w:rsid w:val="00405D7C"/>
    <w:rsid w:val="00413E31"/>
    <w:rsid w:val="004142F3"/>
    <w:rsid w:val="00431ED5"/>
    <w:rsid w:val="00440793"/>
    <w:rsid w:val="00446113"/>
    <w:rsid w:val="00453079"/>
    <w:rsid w:val="00455BAE"/>
    <w:rsid w:val="004631B6"/>
    <w:rsid w:val="00465A3F"/>
    <w:rsid w:val="00474259"/>
    <w:rsid w:val="00483283"/>
    <w:rsid w:val="0048373F"/>
    <w:rsid w:val="00487C5E"/>
    <w:rsid w:val="004951BD"/>
    <w:rsid w:val="004C6ABB"/>
    <w:rsid w:val="004D44EE"/>
    <w:rsid w:val="004F0ADB"/>
    <w:rsid w:val="004F7B15"/>
    <w:rsid w:val="00501A6C"/>
    <w:rsid w:val="00502E2E"/>
    <w:rsid w:val="00511E2F"/>
    <w:rsid w:val="00516666"/>
    <w:rsid w:val="005207FC"/>
    <w:rsid w:val="0053419B"/>
    <w:rsid w:val="00546F72"/>
    <w:rsid w:val="00550890"/>
    <w:rsid w:val="00554A0E"/>
    <w:rsid w:val="00557BBB"/>
    <w:rsid w:val="005621F0"/>
    <w:rsid w:val="00566D6A"/>
    <w:rsid w:val="00585781"/>
    <w:rsid w:val="00586110"/>
    <w:rsid w:val="005A1984"/>
    <w:rsid w:val="005A2D7A"/>
    <w:rsid w:val="005B0542"/>
    <w:rsid w:val="005E2B57"/>
    <w:rsid w:val="005E469C"/>
    <w:rsid w:val="005E7343"/>
    <w:rsid w:val="005F2637"/>
    <w:rsid w:val="005F5CA8"/>
    <w:rsid w:val="0060205E"/>
    <w:rsid w:val="00602792"/>
    <w:rsid w:val="00606C9D"/>
    <w:rsid w:val="00613263"/>
    <w:rsid w:val="0062035F"/>
    <w:rsid w:val="006436DE"/>
    <w:rsid w:val="00660F2B"/>
    <w:rsid w:val="00672999"/>
    <w:rsid w:val="00693879"/>
    <w:rsid w:val="006B028F"/>
    <w:rsid w:val="006C0537"/>
    <w:rsid w:val="006C28F0"/>
    <w:rsid w:val="006D3AC9"/>
    <w:rsid w:val="006D6AAA"/>
    <w:rsid w:val="006E0F99"/>
    <w:rsid w:val="00716125"/>
    <w:rsid w:val="00731248"/>
    <w:rsid w:val="0073355D"/>
    <w:rsid w:val="00735AA0"/>
    <w:rsid w:val="007455FE"/>
    <w:rsid w:val="00746401"/>
    <w:rsid w:val="0075113D"/>
    <w:rsid w:val="0075569E"/>
    <w:rsid w:val="00772D0E"/>
    <w:rsid w:val="0078489A"/>
    <w:rsid w:val="007969A1"/>
    <w:rsid w:val="00796EFA"/>
    <w:rsid w:val="00797C3E"/>
    <w:rsid w:val="007A2D46"/>
    <w:rsid w:val="007B33A0"/>
    <w:rsid w:val="007D2DCE"/>
    <w:rsid w:val="007D493E"/>
    <w:rsid w:val="007F623A"/>
    <w:rsid w:val="00821289"/>
    <w:rsid w:val="0082637E"/>
    <w:rsid w:val="00836893"/>
    <w:rsid w:val="00837342"/>
    <w:rsid w:val="008411EC"/>
    <w:rsid w:val="00841225"/>
    <w:rsid w:val="008473A9"/>
    <w:rsid w:val="0088022E"/>
    <w:rsid w:val="0088318C"/>
    <w:rsid w:val="00886224"/>
    <w:rsid w:val="00892799"/>
    <w:rsid w:val="0089584E"/>
    <w:rsid w:val="00895F0A"/>
    <w:rsid w:val="00897E4E"/>
    <w:rsid w:val="008A2887"/>
    <w:rsid w:val="008B4460"/>
    <w:rsid w:val="008C79AB"/>
    <w:rsid w:val="008D2900"/>
    <w:rsid w:val="008D4812"/>
    <w:rsid w:val="008E7597"/>
    <w:rsid w:val="008E7C34"/>
    <w:rsid w:val="008F1394"/>
    <w:rsid w:val="00913A21"/>
    <w:rsid w:val="00920891"/>
    <w:rsid w:val="009229A5"/>
    <w:rsid w:val="00924BB2"/>
    <w:rsid w:val="00967792"/>
    <w:rsid w:val="0098125D"/>
    <w:rsid w:val="00983FB0"/>
    <w:rsid w:val="009931CA"/>
    <w:rsid w:val="009A41B8"/>
    <w:rsid w:val="009B2D6F"/>
    <w:rsid w:val="009B318A"/>
    <w:rsid w:val="009E2968"/>
    <w:rsid w:val="009E58DD"/>
    <w:rsid w:val="009F3749"/>
    <w:rsid w:val="00A05C2D"/>
    <w:rsid w:val="00A12062"/>
    <w:rsid w:val="00A227E8"/>
    <w:rsid w:val="00A2638B"/>
    <w:rsid w:val="00A26415"/>
    <w:rsid w:val="00A276FA"/>
    <w:rsid w:val="00A308AF"/>
    <w:rsid w:val="00A4533D"/>
    <w:rsid w:val="00A53C2B"/>
    <w:rsid w:val="00A613C4"/>
    <w:rsid w:val="00A70C80"/>
    <w:rsid w:val="00A83D36"/>
    <w:rsid w:val="00A85352"/>
    <w:rsid w:val="00A94D04"/>
    <w:rsid w:val="00A9557B"/>
    <w:rsid w:val="00A96803"/>
    <w:rsid w:val="00A97191"/>
    <w:rsid w:val="00AA166C"/>
    <w:rsid w:val="00AA5265"/>
    <w:rsid w:val="00AB2730"/>
    <w:rsid w:val="00AC3199"/>
    <w:rsid w:val="00AC7289"/>
    <w:rsid w:val="00AC73D3"/>
    <w:rsid w:val="00AE18A2"/>
    <w:rsid w:val="00AE66E9"/>
    <w:rsid w:val="00B05896"/>
    <w:rsid w:val="00B1420B"/>
    <w:rsid w:val="00B14840"/>
    <w:rsid w:val="00B31277"/>
    <w:rsid w:val="00B35D5B"/>
    <w:rsid w:val="00B45446"/>
    <w:rsid w:val="00B5489E"/>
    <w:rsid w:val="00B62ED0"/>
    <w:rsid w:val="00B87167"/>
    <w:rsid w:val="00B90B1E"/>
    <w:rsid w:val="00B93776"/>
    <w:rsid w:val="00B93A2C"/>
    <w:rsid w:val="00BB4B51"/>
    <w:rsid w:val="00BD26A8"/>
    <w:rsid w:val="00BD6694"/>
    <w:rsid w:val="00BE6736"/>
    <w:rsid w:val="00C01D32"/>
    <w:rsid w:val="00C07262"/>
    <w:rsid w:val="00C20E12"/>
    <w:rsid w:val="00C304A9"/>
    <w:rsid w:val="00C45395"/>
    <w:rsid w:val="00C512D9"/>
    <w:rsid w:val="00C52412"/>
    <w:rsid w:val="00C54B88"/>
    <w:rsid w:val="00C54E0C"/>
    <w:rsid w:val="00C62022"/>
    <w:rsid w:val="00C9145A"/>
    <w:rsid w:val="00C94A6B"/>
    <w:rsid w:val="00CA03EE"/>
    <w:rsid w:val="00CA4C3B"/>
    <w:rsid w:val="00CB58BE"/>
    <w:rsid w:val="00CB77B4"/>
    <w:rsid w:val="00CD031B"/>
    <w:rsid w:val="00CD3FC2"/>
    <w:rsid w:val="00CD424F"/>
    <w:rsid w:val="00CD65C3"/>
    <w:rsid w:val="00CE39F8"/>
    <w:rsid w:val="00CE4743"/>
    <w:rsid w:val="00CF34BC"/>
    <w:rsid w:val="00CF49D8"/>
    <w:rsid w:val="00D0592B"/>
    <w:rsid w:val="00D16AE2"/>
    <w:rsid w:val="00D17AF7"/>
    <w:rsid w:val="00D26179"/>
    <w:rsid w:val="00D464C8"/>
    <w:rsid w:val="00D56C6B"/>
    <w:rsid w:val="00D652F4"/>
    <w:rsid w:val="00D75FEE"/>
    <w:rsid w:val="00D83905"/>
    <w:rsid w:val="00D83AF7"/>
    <w:rsid w:val="00D863AA"/>
    <w:rsid w:val="00DA5D0F"/>
    <w:rsid w:val="00DA64C2"/>
    <w:rsid w:val="00DB2003"/>
    <w:rsid w:val="00DB4410"/>
    <w:rsid w:val="00DB4426"/>
    <w:rsid w:val="00DB5349"/>
    <w:rsid w:val="00DD4FA4"/>
    <w:rsid w:val="00DD6058"/>
    <w:rsid w:val="00DE06D7"/>
    <w:rsid w:val="00E00B35"/>
    <w:rsid w:val="00E01220"/>
    <w:rsid w:val="00E13EA3"/>
    <w:rsid w:val="00E2055D"/>
    <w:rsid w:val="00E4004F"/>
    <w:rsid w:val="00E46B37"/>
    <w:rsid w:val="00E5312C"/>
    <w:rsid w:val="00E56CFD"/>
    <w:rsid w:val="00E70FA8"/>
    <w:rsid w:val="00E71A97"/>
    <w:rsid w:val="00E80018"/>
    <w:rsid w:val="00E805A4"/>
    <w:rsid w:val="00E8504C"/>
    <w:rsid w:val="00E85379"/>
    <w:rsid w:val="00E94121"/>
    <w:rsid w:val="00EA1247"/>
    <w:rsid w:val="00EB073C"/>
    <w:rsid w:val="00EC1901"/>
    <w:rsid w:val="00ED1EF3"/>
    <w:rsid w:val="00ED36D0"/>
    <w:rsid w:val="00ED4579"/>
    <w:rsid w:val="00EE07F5"/>
    <w:rsid w:val="00EF09ED"/>
    <w:rsid w:val="00EF405A"/>
    <w:rsid w:val="00F02F95"/>
    <w:rsid w:val="00F23E47"/>
    <w:rsid w:val="00F46A1C"/>
    <w:rsid w:val="00F47AF4"/>
    <w:rsid w:val="00F51D45"/>
    <w:rsid w:val="00F56611"/>
    <w:rsid w:val="00F659E5"/>
    <w:rsid w:val="00F65EE8"/>
    <w:rsid w:val="00F6745D"/>
    <w:rsid w:val="00F67BF5"/>
    <w:rsid w:val="00F717B9"/>
    <w:rsid w:val="00F935EF"/>
    <w:rsid w:val="00FA2E29"/>
    <w:rsid w:val="00FA4975"/>
    <w:rsid w:val="00FA4DB0"/>
    <w:rsid w:val="00FB41F8"/>
    <w:rsid w:val="00FB4DF8"/>
    <w:rsid w:val="00FC4E87"/>
    <w:rsid w:val="00FC541B"/>
    <w:rsid w:val="00FE207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933D707"/>
  <w15:docId w15:val="{BC3695FE-8272-4425-837B-D360D755A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00F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47D1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D2DC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368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68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B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54B88"/>
  </w:style>
  <w:style w:type="paragraph" w:styleId="Footer">
    <w:name w:val="footer"/>
    <w:basedOn w:val="Normal"/>
    <w:link w:val="FooterChar"/>
    <w:rsid w:val="00C54B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B88"/>
  </w:style>
  <w:style w:type="character" w:styleId="Hyperlink">
    <w:name w:val="Hyperlink"/>
    <w:basedOn w:val="DefaultParagraphFont"/>
    <w:uiPriority w:val="99"/>
    <w:unhideWhenUsed/>
    <w:rsid w:val="007969A1"/>
    <w:rPr>
      <w:rFonts w:ascii="Arial" w:hAnsi="Arial" w:cs="Arial" w:hint="default"/>
      <w:color w:val="336633"/>
      <w:sz w:val="17"/>
      <w:szCs w:val="17"/>
      <w:u w:val="single"/>
    </w:rPr>
  </w:style>
  <w:style w:type="character" w:customStyle="1" w:styleId="rbox1">
    <w:name w:val="rbox1"/>
    <w:basedOn w:val="DefaultParagraphFont"/>
    <w:rsid w:val="00A2638B"/>
    <w:rPr>
      <w:bdr w:val="none" w:sz="0" w:space="0" w:color="auto" w:frame="1"/>
    </w:rPr>
  </w:style>
  <w:style w:type="character" w:styleId="FollowedHyperlink">
    <w:name w:val="FollowedHyperlink"/>
    <w:basedOn w:val="DefaultParagraphFont"/>
    <w:rsid w:val="006B028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621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606C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2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5942">
          <w:marLeft w:val="270"/>
          <w:marRight w:val="27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52870">
              <w:marLeft w:val="0"/>
              <w:marRight w:val="0"/>
              <w:marTop w:val="318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1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87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05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369819">
                              <w:marLeft w:val="300"/>
                              <w:marRight w:val="3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90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94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194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esta.edu/about/documents/vpas-docs/citizensoversightdocs/financials/CBOC_Qrt_6_30_18_Report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Cuesta College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Cuesta College</dc:creator>
  <cp:lastModifiedBy>Merlynn Foppiano</cp:lastModifiedBy>
  <cp:revision>6</cp:revision>
  <cp:lastPrinted>2019-03-20T23:26:00Z</cp:lastPrinted>
  <dcterms:created xsi:type="dcterms:W3CDTF">2019-03-20T22:36:00Z</dcterms:created>
  <dcterms:modified xsi:type="dcterms:W3CDTF">2019-03-21T23:00:00Z</dcterms:modified>
</cp:coreProperties>
</file>